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footer5.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footer2.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header5.xml" ContentType="application/vnd.openxmlformats-officedocument.wordprocessingml.header+xml"/>
  <Override PartName="/word/footer6.xml" ContentType="application/vnd.openxmlformats-officedocument.wordprocessingml.footer+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header4.xml" ContentType="application/vnd.openxmlformats-officedocument.wordprocessingml.header+xml"/>
  <Override PartName="/word/header2.xml" ContentType="application/vnd.openxmlformats-officedocument.wordprocessingml.header+xml"/>
  <Override PartName="/word/header6.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D5" w:rsidRDefault="00DB04B8">
      <w:pPr>
        <w:pStyle w:val="SLS-TITLECENTEREDB"/>
        <w:keepNext w:val="0"/>
        <w:keepLines w:val="0"/>
        <w:suppressLineNumbers/>
        <w:suppressAutoHyphens/>
        <w:rPr>
          <w:rFonts w:hAnsi="Times New Roman"/>
        </w:rPr>
      </w:pPr>
      <w:bookmarkStart w:id="0" w:name="_GoBack"/>
      <w:bookmarkEnd w:id="0"/>
      <w:r>
        <w:rPr>
          <w:rFonts w:hAnsi="Times New Roman"/>
        </w:rPr>
        <w:t>MEMORANDUM OF TERMS</w:t>
      </w:r>
    </w:p>
    <w:p w:rsidR="006D3ED5" w:rsidRDefault="00DB04B8">
      <w:pPr>
        <w:pStyle w:val="SLS-TITLECENTEREDB"/>
        <w:keepNext w:val="0"/>
        <w:keepLines w:val="0"/>
        <w:suppressLineNumbers/>
        <w:suppressAutoHyphens/>
        <w:rPr>
          <w:rFonts w:hAnsi="Times New Roman"/>
        </w:rPr>
      </w:pPr>
      <w:r>
        <w:rPr>
          <w:rFonts w:hAnsi="Times New Roman"/>
        </w:rPr>
        <w:t>FOR THE InCorporation and Organization OF</w:t>
      </w:r>
    </w:p>
    <w:p w:rsidR="006D3ED5" w:rsidRDefault="00DB04B8">
      <w:pPr>
        <w:pStyle w:val="SLS-TITLECENTEREDB"/>
        <w:keepNext w:val="0"/>
        <w:keepLines w:val="0"/>
        <w:suppressLineNumbers/>
        <w:suppressAutoHyphens/>
        <w:rPr>
          <w:rFonts w:hAnsi="Times New Roman"/>
          <w:sz w:val="30"/>
        </w:rPr>
      </w:pPr>
      <w:r>
        <w:rPr>
          <w:rFonts w:hAnsi="Times New Roman"/>
          <w:sz w:val="30"/>
        </w:rPr>
        <w:t>[Company Name]</w:t>
      </w:r>
    </w:p>
    <w:p w:rsidR="006D3ED5" w:rsidRDefault="00DB04B8">
      <w:pPr>
        <w:pStyle w:val="SLS-BodyText"/>
        <w:suppressLineNumbers/>
        <w:pBdr>
          <w:top w:val="single" w:sz="4" w:space="1" w:color="auto"/>
          <w:left w:val="single" w:sz="4" w:space="0" w:color="auto"/>
          <w:bottom w:val="single" w:sz="4" w:space="1" w:color="auto"/>
          <w:right w:val="single" w:sz="4" w:space="4" w:color="auto"/>
        </w:pBdr>
        <w:suppressAutoHyphens/>
        <w:spacing w:after="120"/>
        <w:jc w:val="both"/>
        <w:rPr>
          <w:b/>
          <w:bCs/>
          <w:smallCaps/>
        </w:rPr>
      </w:pPr>
      <w:r>
        <w:rPr>
          <w:b/>
          <w:bCs/>
          <w:smallCaps/>
        </w:rPr>
        <w:t>This term sheet summarizes the principal terms of the proposed incorporation and organization of [Company Name] (the “</w:t>
      </w:r>
      <w:r>
        <w:rPr>
          <w:b/>
          <w:bCs/>
          <w:smallCaps/>
          <w:u w:val="single"/>
        </w:rPr>
        <w:t>Company</w:t>
      </w:r>
      <w:r>
        <w:rPr>
          <w:b/>
          <w:bCs/>
          <w:smallCaps/>
        </w:rPr>
        <w:t>”).  This term sheet is for discussion purposes only; there is no obligation on the part of any negotiating party until definitive agreements are signed by all parties.  This term sheet does not constitute either an offer to sell or an offer to purchase securities.</w:t>
      </w:r>
    </w:p>
    <w:p w:rsidR="006D3ED5" w:rsidRDefault="006D3ED5">
      <w:pPr>
        <w:suppressLineNumbers/>
        <w:suppressAutoHyphens/>
      </w:pPr>
    </w:p>
    <w:tbl>
      <w:tblPr>
        <w:tblW w:w="9480" w:type="dxa"/>
        <w:tblInd w:w="108" w:type="dxa"/>
        <w:tblLayout w:type="fixed"/>
        <w:tblLook w:val="0000" w:firstRow="0" w:lastRow="0" w:firstColumn="0" w:lastColumn="0" w:noHBand="0" w:noVBand="0"/>
      </w:tblPr>
      <w:tblGrid>
        <w:gridCol w:w="3843"/>
        <w:gridCol w:w="5637"/>
      </w:tblGrid>
      <w:tr w:rsidR="006D3ED5">
        <w:tc>
          <w:tcPr>
            <w:tcW w:w="3843" w:type="dxa"/>
          </w:tcPr>
          <w:p w:rsidR="006D3ED5" w:rsidRDefault="00DB04B8">
            <w:pPr>
              <w:suppressLineNumbers/>
              <w:suppressAutoHyphens/>
              <w:spacing w:after="120"/>
              <w:rPr>
                <w:b/>
                <w:i/>
              </w:rPr>
            </w:pPr>
            <w:r>
              <w:rPr>
                <w:b/>
                <w:i/>
              </w:rPr>
              <w:t>State of Incorporation:</w:t>
            </w:r>
          </w:p>
        </w:tc>
        <w:tc>
          <w:tcPr>
            <w:tcW w:w="5637" w:type="dxa"/>
          </w:tcPr>
          <w:p w:rsidR="006D3ED5" w:rsidRDefault="00DB04B8">
            <w:pPr>
              <w:suppressLineNumbers/>
              <w:suppressAutoHyphens/>
              <w:spacing w:after="120"/>
            </w:pPr>
            <w:r>
              <w:t>Delaware</w:t>
            </w:r>
          </w:p>
        </w:tc>
      </w:tr>
      <w:tr w:rsidR="006D3ED5">
        <w:tc>
          <w:tcPr>
            <w:tcW w:w="3843" w:type="dxa"/>
          </w:tcPr>
          <w:p w:rsidR="006D3ED5" w:rsidRDefault="00DB04B8">
            <w:pPr>
              <w:suppressLineNumbers/>
              <w:suppressAutoHyphens/>
              <w:spacing w:after="120"/>
              <w:rPr>
                <w:b/>
                <w:i/>
              </w:rPr>
            </w:pPr>
            <w:r>
              <w:rPr>
                <w:b/>
                <w:i/>
              </w:rPr>
              <w:t>Principal Office:</w:t>
            </w:r>
            <w:r w:rsidR="00635167">
              <w:rPr>
                <w:rStyle w:val="FootnoteReference"/>
                <w:b/>
                <w:i/>
              </w:rPr>
              <w:footnoteReference w:id="1"/>
            </w:r>
          </w:p>
        </w:tc>
        <w:tc>
          <w:tcPr>
            <w:tcW w:w="5637" w:type="dxa"/>
          </w:tcPr>
          <w:p w:rsidR="006D3ED5" w:rsidRDefault="00DB04B8" w:rsidP="00236206">
            <w:pPr>
              <w:suppressLineNumbers/>
              <w:suppressAutoHyphens/>
              <w:spacing w:after="120"/>
            </w:pPr>
            <w:r>
              <w:t>____________________</w:t>
            </w:r>
            <w:r>
              <w:br/>
              <w:t>__</w:t>
            </w:r>
            <w:r w:rsidR="00635167">
              <w:t>___</w:t>
            </w:r>
            <w:r>
              <w:t xml:space="preserve">________  ______ </w:t>
            </w:r>
            <w:r>
              <w:br/>
              <w:t>Phone:  ______________</w:t>
            </w:r>
          </w:p>
        </w:tc>
      </w:tr>
      <w:tr w:rsidR="006D3ED5">
        <w:tc>
          <w:tcPr>
            <w:tcW w:w="3843" w:type="dxa"/>
          </w:tcPr>
          <w:p w:rsidR="006D3ED5" w:rsidRDefault="00DB04B8">
            <w:pPr>
              <w:suppressLineNumbers/>
              <w:suppressAutoHyphens/>
              <w:spacing w:after="120"/>
              <w:rPr>
                <w:b/>
                <w:i/>
              </w:rPr>
            </w:pPr>
            <w:r>
              <w:rPr>
                <w:b/>
                <w:i/>
              </w:rPr>
              <w:t>Company Website:</w:t>
            </w:r>
            <w:r w:rsidR="00635167">
              <w:rPr>
                <w:rStyle w:val="FootnoteReference"/>
                <w:b/>
                <w:i/>
              </w:rPr>
              <w:footnoteReference w:id="2"/>
            </w:r>
          </w:p>
        </w:tc>
        <w:tc>
          <w:tcPr>
            <w:tcW w:w="5637" w:type="dxa"/>
          </w:tcPr>
          <w:p w:rsidR="006D3ED5" w:rsidRDefault="00DB04B8">
            <w:pPr>
              <w:suppressLineNumbers/>
              <w:suppressAutoHyphens/>
              <w:spacing w:after="120"/>
            </w:pPr>
            <w:r>
              <w:t>www.</w:t>
            </w:r>
          </w:p>
        </w:tc>
      </w:tr>
      <w:tr w:rsidR="006D3ED5">
        <w:tc>
          <w:tcPr>
            <w:tcW w:w="3843" w:type="dxa"/>
          </w:tcPr>
          <w:p w:rsidR="006D3ED5" w:rsidRDefault="00DB04B8">
            <w:pPr>
              <w:suppressLineNumbers/>
              <w:suppressAutoHyphens/>
              <w:spacing w:after="120"/>
              <w:rPr>
                <w:b/>
                <w:i/>
              </w:rPr>
            </w:pPr>
            <w:r>
              <w:rPr>
                <w:b/>
                <w:i/>
              </w:rPr>
              <w:t>Doing Business in Other States:</w:t>
            </w:r>
            <w:r w:rsidR="00635167">
              <w:rPr>
                <w:rStyle w:val="FootnoteReference"/>
                <w:b/>
                <w:i/>
              </w:rPr>
              <w:footnoteReference w:id="3"/>
            </w:r>
          </w:p>
        </w:tc>
        <w:tc>
          <w:tcPr>
            <w:tcW w:w="5637" w:type="dxa"/>
          </w:tcPr>
          <w:p w:rsidR="006D3ED5" w:rsidRDefault="00DB04B8">
            <w:pPr>
              <w:suppressLineNumbers/>
              <w:suppressAutoHyphens/>
              <w:spacing w:after="120"/>
            </w:pPr>
            <w:r>
              <w:t xml:space="preserve">None. </w:t>
            </w:r>
          </w:p>
        </w:tc>
      </w:tr>
      <w:tr w:rsidR="006D3ED5">
        <w:tc>
          <w:tcPr>
            <w:tcW w:w="3843" w:type="dxa"/>
          </w:tcPr>
          <w:p w:rsidR="006D3ED5" w:rsidRDefault="00DB04B8">
            <w:pPr>
              <w:suppressLineNumbers/>
              <w:suppressAutoHyphens/>
              <w:spacing w:after="120"/>
              <w:rPr>
                <w:b/>
                <w:i/>
              </w:rPr>
            </w:pPr>
            <w:r>
              <w:rPr>
                <w:b/>
                <w:i/>
              </w:rPr>
              <w:t>Board of Directors:</w:t>
            </w:r>
            <w:r w:rsidR="006F693C">
              <w:rPr>
                <w:rStyle w:val="FootnoteReference"/>
                <w:b/>
                <w:i/>
              </w:rPr>
              <w:footnoteReference w:id="4"/>
            </w:r>
          </w:p>
        </w:tc>
        <w:tc>
          <w:tcPr>
            <w:tcW w:w="5637" w:type="dxa"/>
          </w:tcPr>
          <w:p w:rsidR="006D3ED5" w:rsidRDefault="00DB04B8">
            <w:pPr>
              <w:suppressLineNumbers/>
              <w:suppressAutoHyphens/>
              <w:spacing w:after="120"/>
            </w:pPr>
            <w:r>
              <w:t>The number of authorized directors will be initially fixed at ____ directors.</w:t>
            </w:r>
          </w:p>
        </w:tc>
      </w:tr>
    </w:tbl>
    <w:p w:rsidR="006D3ED5" w:rsidRDefault="00DB04B8">
      <w:pPr>
        <w:keepNext/>
        <w:suppressLineNumbers/>
        <w:suppressAutoHyphens/>
        <w:spacing w:after="120"/>
        <w:rPr>
          <w:b/>
          <w:i/>
        </w:rPr>
      </w:pPr>
      <w:r>
        <w:rPr>
          <w:b/>
          <w:i/>
        </w:rPr>
        <w:t>Directors:</w:t>
      </w:r>
      <w:r w:rsidR="006F693C">
        <w:rPr>
          <w:rStyle w:val="FootnoteReference"/>
          <w:b/>
          <w:i/>
        </w:rPr>
        <w:footnoteReference w:id="5"/>
      </w:r>
    </w:p>
    <w:tbl>
      <w:tblPr>
        <w:tblW w:w="9480" w:type="dxa"/>
        <w:tblInd w:w="108" w:type="dxa"/>
        <w:tblLayout w:type="fixed"/>
        <w:tblLook w:val="0000" w:firstRow="0" w:lastRow="0" w:firstColumn="0" w:lastColumn="0" w:noHBand="0" w:noVBand="0"/>
      </w:tblPr>
      <w:tblGrid>
        <w:gridCol w:w="3843"/>
        <w:gridCol w:w="5637"/>
      </w:tblGrid>
      <w:tr w:rsidR="006D3ED5">
        <w:trPr>
          <w:tblHeader/>
        </w:trPr>
        <w:tc>
          <w:tcPr>
            <w:tcW w:w="3843" w:type="dxa"/>
          </w:tcPr>
          <w:p w:rsidR="006D3ED5" w:rsidRDefault="00DB04B8">
            <w:pPr>
              <w:keepNext/>
              <w:suppressLineNumbers/>
              <w:suppressAutoHyphens/>
              <w:spacing w:after="120"/>
              <w:rPr>
                <w:b/>
              </w:rPr>
            </w:pPr>
            <w:r>
              <w:rPr>
                <w:b/>
              </w:rPr>
              <w:t>Name</w:t>
            </w:r>
          </w:p>
        </w:tc>
        <w:tc>
          <w:tcPr>
            <w:tcW w:w="5637" w:type="dxa"/>
          </w:tcPr>
          <w:p w:rsidR="006D3ED5" w:rsidRDefault="00DB04B8">
            <w:pPr>
              <w:keepNext/>
              <w:suppressLineNumbers/>
              <w:suppressAutoHyphens/>
              <w:spacing w:after="120"/>
              <w:rPr>
                <w:b/>
              </w:rPr>
            </w:pPr>
            <w:r>
              <w:rPr>
                <w:b/>
              </w:rPr>
              <w:t>Address</w:t>
            </w:r>
          </w:p>
        </w:tc>
      </w:tr>
      <w:tr w:rsidR="006D3ED5">
        <w:tc>
          <w:tcPr>
            <w:tcW w:w="3843" w:type="dxa"/>
          </w:tcPr>
          <w:p w:rsidR="006D3ED5" w:rsidRDefault="006D3ED5">
            <w:pPr>
              <w:keepLines/>
              <w:suppressLineNumbers/>
              <w:suppressAutoHyphens/>
              <w:spacing w:after="120"/>
            </w:pPr>
          </w:p>
        </w:tc>
        <w:tc>
          <w:tcPr>
            <w:tcW w:w="5637" w:type="dxa"/>
          </w:tcPr>
          <w:p w:rsidR="006D3ED5" w:rsidRDefault="006D3ED5">
            <w:pPr>
              <w:keepLines/>
              <w:suppressLineNumbers/>
              <w:suppressAutoHyphens/>
              <w:spacing w:after="120"/>
            </w:pPr>
          </w:p>
        </w:tc>
      </w:tr>
    </w:tbl>
    <w:p w:rsidR="006D3ED5" w:rsidRDefault="00DB04B8">
      <w:pPr>
        <w:keepNext/>
        <w:suppressLineNumbers/>
        <w:suppressAutoHyphens/>
        <w:spacing w:after="120"/>
        <w:rPr>
          <w:b/>
          <w:i/>
        </w:rPr>
      </w:pPr>
      <w:r>
        <w:rPr>
          <w:b/>
          <w:i/>
        </w:rPr>
        <w:t>Officers:</w:t>
      </w:r>
      <w:r w:rsidR="006F693C">
        <w:rPr>
          <w:rStyle w:val="FootnoteReference"/>
          <w:b/>
          <w:i/>
        </w:rPr>
        <w:footnoteReference w:id="6"/>
      </w:r>
    </w:p>
    <w:tbl>
      <w:tblPr>
        <w:tblW w:w="9480" w:type="dxa"/>
        <w:tblInd w:w="108" w:type="dxa"/>
        <w:tblLayout w:type="fixed"/>
        <w:tblLook w:val="0000" w:firstRow="0" w:lastRow="0" w:firstColumn="0" w:lastColumn="0" w:noHBand="0" w:noVBand="0"/>
      </w:tblPr>
      <w:tblGrid>
        <w:gridCol w:w="3843"/>
        <w:gridCol w:w="5637"/>
      </w:tblGrid>
      <w:tr w:rsidR="006D3ED5">
        <w:trPr>
          <w:tblHeader/>
        </w:trPr>
        <w:tc>
          <w:tcPr>
            <w:tcW w:w="3843" w:type="dxa"/>
          </w:tcPr>
          <w:p w:rsidR="006D3ED5" w:rsidRDefault="00DB04B8">
            <w:pPr>
              <w:keepNext/>
              <w:suppressLineNumbers/>
              <w:suppressAutoHyphens/>
              <w:spacing w:after="120"/>
              <w:rPr>
                <w:b/>
              </w:rPr>
            </w:pPr>
            <w:r>
              <w:rPr>
                <w:b/>
              </w:rPr>
              <w:t>Name and Title</w:t>
            </w:r>
          </w:p>
        </w:tc>
        <w:tc>
          <w:tcPr>
            <w:tcW w:w="5637" w:type="dxa"/>
          </w:tcPr>
          <w:p w:rsidR="006D3ED5" w:rsidRDefault="00DB04B8">
            <w:pPr>
              <w:keepNext/>
              <w:suppressLineNumbers/>
              <w:suppressAutoHyphens/>
              <w:spacing w:after="120"/>
              <w:rPr>
                <w:b/>
              </w:rPr>
            </w:pPr>
            <w:r>
              <w:rPr>
                <w:b/>
              </w:rPr>
              <w:t>Address</w:t>
            </w:r>
          </w:p>
        </w:tc>
      </w:tr>
      <w:tr w:rsidR="006D3ED5">
        <w:tc>
          <w:tcPr>
            <w:tcW w:w="3843" w:type="dxa"/>
          </w:tcPr>
          <w:p w:rsidR="006D3ED5" w:rsidRDefault="006D3ED5">
            <w:pPr>
              <w:keepLines/>
              <w:suppressLineNumbers/>
              <w:suppressAutoHyphens/>
              <w:spacing w:after="120"/>
            </w:pPr>
          </w:p>
        </w:tc>
        <w:tc>
          <w:tcPr>
            <w:tcW w:w="5637" w:type="dxa"/>
          </w:tcPr>
          <w:p w:rsidR="006D3ED5" w:rsidRDefault="006D3ED5">
            <w:pPr>
              <w:keepLines/>
              <w:suppressLineNumbers/>
              <w:suppressAutoHyphens/>
              <w:spacing w:after="120"/>
            </w:pPr>
          </w:p>
        </w:tc>
      </w:tr>
    </w:tbl>
    <w:p w:rsidR="006D3ED5" w:rsidRDefault="00DB04B8">
      <w:pPr>
        <w:keepNext/>
        <w:suppressLineNumbers/>
        <w:suppressAutoHyphens/>
        <w:spacing w:after="120"/>
        <w:rPr>
          <w:b/>
          <w:i/>
        </w:rPr>
      </w:pPr>
      <w:r>
        <w:rPr>
          <w:b/>
          <w:i/>
        </w:rPr>
        <w:t>Capitalization:</w:t>
      </w:r>
    </w:p>
    <w:tbl>
      <w:tblPr>
        <w:tblW w:w="9475" w:type="dxa"/>
        <w:tblInd w:w="115" w:type="dxa"/>
        <w:tblLayout w:type="fixed"/>
        <w:tblLook w:val="0000" w:firstRow="0" w:lastRow="0" w:firstColumn="0" w:lastColumn="0" w:noHBand="0" w:noVBand="0"/>
      </w:tblPr>
      <w:tblGrid>
        <w:gridCol w:w="3842"/>
        <w:gridCol w:w="5633"/>
      </w:tblGrid>
      <w:tr w:rsidR="006D3ED5">
        <w:tc>
          <w:tcPr>
            <w:tcW w:w="3845" w:type="dxa"/>
          </w:tcPr>
          <w:p w:rsidR="006D3ED5" w:rsidRDefault="00DB04B8">
            <w:pPr>
              <w:suppressLineNumbers/>
              <w:suppressAutoHyphens/>
              <w:spacing w:after="120"/>
              <w:rPr>
                <w:b/>
                <w:i/>
              </w:rPr>
            </w:pPr>
            <w:r>
              <w:rPr>
                <w:b/>
                <w:i/>
              </w:rPr>
              <w:t xml:space="preserve">     Total Shares Authorized:</w:t>
            </w:r>
          </w:p>
        </w:tc>
        <w:tc>
          <w:tcPr>
            <w:tcW w:w="5637" w:type="dxa"/>
          </w:tcPr>
          <w:p w:rsidR="006D3ED5" w:rsidRDefault="00F16D91" w:rsidP="00F16D91">
            <w:pPr>
              <w:suppressLineNumbers/>
              <w:suppressAutoHyphens/>
              <w:spacing w:after="120"/>
            </w:pPr>
            <w:r>
              <w:t>10,000,000</w:t>
            </w:r>
            <w:r w:rsidR="00DB04B8">
              <w:t xml:space="preserve"> shares</w:t>
            </w:r>
            <w:r>
              <w:t xml:space="preserve"> of common stock,</w:t>
            </w:r>
            <w:r w:rsidR="00DB04B8">
              <w:t xml:space="preserve"> $0.00001 par value per share.</w:t>
            </w:r>
          </w:p>
        </w:tc>
      </w:tr>
      <w:tr w:rsidR="006D3ED5">
        <w:tc>
          <w:tcPr>
            <w:tcW w:w="3845" w:type="dxa"/>
          </w:tcPr>
          <w:p w:rsidR="006D3ED5" w:rsidRDefault="00DB04B8">
            <w:pPr>
              <w:suppressLineNumbers/>
              <w:suppressAutoHyphens/>
              <w:spacing w:after="120"/>
              <w:rPr>
                <w:b/>
                <w:i/>
              </w:rPr>
            </w:pPr>
            <w:r>
              <w:rPr>
                <w:b/>
                <w:i/>
              </w:rPr>
              <w:lastRenderedPageBreak/>
              <w:t xml:space="preserve">     Stock Plan Reserved Pool:</w:t>
            </w:r>
            <w:r w:rsidR="00F16D91">
              <w:rPr>
                <w:rStyle w:val="FootnoteReference"/>
                <w:b/>
                <w:i/>
              </w:rPr>
              <w:footnoteReference w:id="7"/>
            </w:r>
          </w:p>
        </w:tc>
        <w:tc>
          <w:tcPr>
            <w:tcW w:w="5637" w:type="dxa"/>
          </w:tcPr>
          <w:p w:rsidR="006D3ED5" w:rsidRDefault="00DB04B8" w:rsidP="00F16D91">
            <w:pPr>
              <w:suppressLineNumbers/>
              <w:suppressAutoHyphens/>
              <w:spacing w:after="120"/>
            </w:pPr>
            <w:r>
              <w:rPr>
                <w:noProof/>
              </w:rPr>
              <w:t xml:space="preserve">A total of </w:t>
            </w:r>
            <w:r w:rsidR="00F16D91">
              <w:rPr>
                <w:noProof/>
              </w:rPr>
              <w:t>[2,000,000]</w:t>
            </w:r>
            <w:r>
              <w:rPr>
                <w:noProof/>
              </w:rPr>
              <w:t xml:space="preserve"> shares will be reserved for issuance under the Stock Plan.</w:t>
            </w:r>
          </w:p>
        </w:tc>
      </w:tr>
      <w:tr w:rsidR="006D3ED5">
        <w:tc>
          <w:tcPr>
            <w:tcW w:w="3845" w:type="dxa"/>
          </w:tcPr>
          <w:p w:rsidR="006D3ED5" w:rsidRDefault="00DB04B8">
            <w:pPr>
              <w:suppressLineNumbers/>
              <w:suppressAutoHyphens/>
              <w:spacing w:after="120"/>
              <w:rPr>
                <w:b/>
                <w:i/>
              </w:rPr>
            </w:pPr>
            <w:r>
              <w:rPr>
                <w:b/>
                <w:i/>
              </w:rPr>
              <w:t>Blanket Transfer Restrictions:</w:t>
            </w:r>
          </w:p>
        </w:tc>
        <w:tc>
          <w:tcPr>
            <w:tcW w:w="5637" w:type="dxa"/>
          </w:tcPr>
          <w:p w:rsidR="006D3ED5" w:rsidRDefault="00DB04B8">
            <w:pPr>
              <w:suppressLineNumbers/>
              <w:suppressAutoHyphens/>
              <w:spacing w:after="120"/>
            </w:pPr>
            <w:r>
              <w:t>The Bylaws and the Stock Plan will include a provision requiring Board approval of all stock transfers.</w:t>
            </w:r>
          </w:p>
        </w:tc>
      </w:tr>
      <w:tr w:rsidR="006D3ED5">
        <w:tc>
          <w:tcPr>
            <w:tcW w:w="3845" w:type="dxa"/>
          </w:tcPr>
          <w:p w:rsidR="006D3ED5" w:rsidRDefault="00DB04B8">
            <w:pPr>
              <w:suppressLineNumbers/>
              <w:suppressAutoHyphens/>
              <w:spacing w:after="120"/>
              <w:rPr>
                <w:b/>
                <w:i/>
              </w:rPr>
            </w:pPr>
            <w:r>
              <w:rPr>
                <w:b/>
                <w:i/>
              </w:rPr>
              <w:t>Fiscal Year End:</w:t>
            </w:r>
          </w:p>
        </w:tc>
        <w:tc>
          <w:tcPr>
            <w:tcW w:w="5637" w:type="dxa"/>
          </w:tcPr>
          <w:p w:rsidR="006D3ED5" w:rsidRDefault="00DB04B8">
            <w:pPr>
              <w:suppressLineNumbers/>
              <w:suppressAutoHyphens/>
              <w:spacing w:after="120"/>
            </w:pPr>
            <w:r>
              <w:t>December 31</w:t>
            </w:r>
            <w:r>
              <w:rPr>
                <w:vertAlign w:val="superscript"/>
              </w:rPr>
              <w:t>st</w:t>
            </w:r>
            <w:r>
              <w:t>.</w:t>
            </w:r>
          </w:p>
        </w:tc>
      </w:tr>
      <w:tr w:rsidR="006D3ED5">
        <w:tc>
          <w:tcPr>
            <w:tcW w:w="3845" w:type="dxa"/>
          </w:tcPr>
          <w:p w:rsidR="006D3ED5" w:rsidRDefault="00DB04B8">
            <w:pPr>
              <w:suppressLineNumbers/>
              <w:suppressAutoHyphens/>
              <w:spacing w:after="120"/>
              <w:rPr>
                <w:b/>
                <w:i/>
              </w:rPr>
            </w:pPr>
            <w:r>
              <w:rPr>
                <w:b/>
                <w:i/>
              </w:rPr>
              <w:t>S Corporation Election:</w:t>
            </w:r>
            <w:r w:rsidR="00435123">
              <w:rPr>
                <w:rStyle w:val="FootnoteReference"/>
                <w:b/>
                <w:i/>
              </w:rPr>
              <w:footnoteReference w:id="8"/>
            </w:r>
          </w:p>
        </w:tc>
        <w:tc>
          <w:tcPr>
            <w:tcW w:w="5637" w:type="dxa"/>
          </w:tcPr>
          <w:p w:rsidR="006D3ED5" w:rsidRDefault="00DB04B8">
            <w:pPr>
              <w:suppressLineNumbers/>
              <w:suppressAutoHyphens/>
              <w:spacing w:after="120"/>
            </w:pPr>
            <w:r>
              <w:t xml:space="preserve">No </w:t>
            </w:r>
          </w:p>
        </w:tc>
      </w:tr>
      <w:tr w:rsidR="006D3ED5">
        <w:tc>
          <w:tcPr>
            <w:tcW w:w="3845" w:type="dxa"/>
          </w:tcPr>
          <w:p w:rsidR="006D3ED5" w:rsidRDefault="00DB04B8">
            <w:pPr>
              <w:suppressLineNumbers/>
              <w:suppressAutoHyphens/>
              <w:spacing w:after="120"/>
              <w:rPr>
                <w:b/>
                <w:i/>
              </w:rPr>
            </w:pPr>
            <w:r>
              <w:rPr>
                <w:b/>
                <w:i/>
              </w:rPr>
              <w:t>Attorneys:</w:t>
            </w:r>
          </w:p>
        </w:tc>
        <w:tc>
          <w:tcPr>
            <w:tcW w:w="5637" w:type="dxa"/>
          </w:tcPr>
          <w:p w:rsidR="006D3ED5" w:rsidRDefault="00DB04B8">
            <w:pPr>
              <w:suppressLineNumbers/>
              <w:suppressAutoHyphens/>
              <w:spacing w:after="120"/>
            </w:pPr>
            <w:r>
              <w:t>Perkins Coie LLP</w:t>
            </w:r>
          </w:p>
        </w:tc>
      </w:tr>
      <w:tr w:rsidR="006D3ED5">
        <w:tc>
          <w:tcPr>
            <w:tcW w:w="3845" w:type="dxa"/>
          </w:tcPr>
          <w:p w:rsidR="006D3ED5" w:rsidRDefault="00DB04B8">
            <w:pPr>
              <w:suppressLineNumbers/>
              <w:suppressAutoHyphens/>
              <w:spacing w:after="120"/>
              <w:rPr>
                <w:b/>
                <w:i/>
              </w:rPr>
            </w:pPr>
            <w:r>
              <w:rPr>
                <w:b/>
                <w:i/>
              </w:rPr>
              <w:t>Principal Client Contact for Attorneys:</w:t>
            </w:r>
          </w:p>
        </w:tc>
        <w:tc>
          <w:tcPr>
            <w:tcW w:w="5637" w:type="dxa"/>
          </w:tcPr>
          <w:p w:rsidR="006D3ED5" w:rsidRDefault="00DB04B8" w:rsidP="00236206">
            <w:pPr>
              <w:suppressLineNumbers/>
              <w:suppressAutoHyphens/>
              <w:spacing w:after="120"/>
            </w:pPr>
            <w:r>
              <w:t>[Name]</w:t>
            </w:r>
            <w:r>
              <w:br/>
              <w:t>[Title]</w:t>
            </w:r>
            <w:r>
              <w:br/>
              <w:t>____________________</w:t>
            </w:r>
            <w:r>
              <w:br/>
              <w:t>___</w:t>
            </w:r>
            <w:r w:rsidR="00435123">
              <w:t>___</w:t>
            </w:r>
            <w:r>
              <w:t xml:space="preserve">_______  ______ </w:t>
            </w:r>
            <w:r>
              <w:br/>
              <w:t>[United Stat</w:t>
            </w:r>
            <w:r w:rsidR="00236206">
              <w:t>es]</w:t>
            </w:r>
            <w:r w:rsidR="00236206">
              <w:br/>
              <w:t>Phone:  ________________</w:t>
            </w:r>
            <w:r>
              <w:br/>
              <w:t>Email:  ________________</w:t>
            </w:r>
          </w:p>
        </w:tc>
      </w:tr>
    </w:tbl>
    <w:p w:rsidR="006D3ED5" w:rsidRDefault="006D3ED5">
      <w:pPr>
        <w:suppressLineNumbers/>
        <w:suppressAutoHyphens/>
        <w:spacing w:after="120"/>
      </w:pPr>
    </w:p>
    <w:p w:rsidR="006D3ED5" w:rsidRDefault="006D3ED5">
      <w:pPr>
        <w:suppressLineNumbers/>
        <w:suppressAutoHyphens/>
        <w:spacing w:after="120"/>
        <w:sectPr w:rsidR="006D3ED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rtlGutter/>
          <w:docGrid w:linePitch="360"/>
        </w:sectPr>
      </w:pPr>
    </w:p>
    <w:p w:rsidR="006D3ED5" w:rsidRDefault="00DB04B8">
      <w:pPr>
        <w:suppressLineNumbers/>
        <w:suppressAutoHyphens/>
        <w:spacing w:after="120"/>
        <w:rPr>
          <w:b/>
          <w:i/>
        </w:rPr>
      </w:pPr>
      <w:r>
        <w:rPr>
          <w:b/>
          <w:i/>
        </w:rPr>
        <w:lastRenderedPageBreak/>
        <w:t>Stockholder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294"/>
        <w:gridCol w:w="1976"/>
        <w:gridCol w:w="1318"/>
        <w:gridCol w:w="3294"/>
      </w:tblGrid>
      <w:tr w:rsidR="006D3ED5" w:rsidTr="00BC1C1C">
        <w:trPr>
          <w:tblHeader/>
        </w:trPr>
        <w:tc>
          <w:tcPr>
            <w:tcW w:w="1250" w:type="pct"/>
          </w:tcPr>
          <w:p w:rsidR="006D3ED5" w:rsidRDefault="00DB04B8">
            <w:pPr>
              <w:suppressLineNumbers/>
              <w:suppressAutoHyphens/>
              <w:spacing w:after="120"/>
              <w:rPr>
                <w:sz w:val="22"/>
                <w:szCs w:val="22"/>
              </w:rPr>
            </w:pPr>
            <w:r>
              <w:rPr>
                <w:b/>
                <w:sz w:val="22"/>
                <w:szCs w:val="22"/>
              </w:rPr>
              <w:t>Name and Address</w:t>
            </w:r>
          </w:p>
        </w:tc>
        <w:tc>
          <w:tcPr>
            <w:tcW w:w="1250" w:type="pct"/>
          </w:tcPr>
          <w:p w:rsidR="006D3ED5" w:rsidRDefault="00DB04B8">
            <w:pPr>
              <w:suppressLineNumbers/>
              <w:suppressAutoHyphens/>
              <w:spacing w:after="120"/>
              <w:rPr>
                <w:sz w:val="22"/>
                <w:szCs w:val="22"/>
              </w:rPr>
            </w:pPr>
            <w:r>
              <w:rPr>
                <w:b/>
                <w:sz w:val="22"/>
                <w:szCs w:val="22"/>
              </w:rPr>
              <w:t>Shares and Price</w:t>
            </w:r>
            <w:r w:rsidR="00435123">
              <w:rPr>
                <w:rStyle w:val="FootnoteReference"/>
                <w:b/>
                <w:sz w:val="22"/>
                <w:szCs w:val="22"/>
              </w:rPr>
              <w:footnoteReference w:id="9"/>
            </w:r>
          </w:p>
        </w:tc>
        <w:tc>
          <w:tcPr>
            <w:tcW w:w="750" w:type="pct"/>
          </w:tcPr>
          <w:p w:rsidR="006D3ED5" w:rsidRDefault="00DB04B8">
            <w:pPr>
              <w:suppressLineNumbers/>
              <w:suppressAutoHyphens/>
              <w:spacing w:after="120"/>
              <w:rPr>
                <w:sz w:val="22"/>
                <w:szCs w:val="22"/>
              </w:rPr>
            </w:pPr>
            <w:r>
              <w:rPr>
                <w:b/>
                <w:sz w:val="22"/>
                <w:szCs w:val="22"/>
              </w:rPr>
              <w:t>Amount and Form of Consideration</w:t>
            </w:r>
            <w:r w:rsidR="005C0D05">
              <w:rPr>
                <w:rStyle w:val="FootnoteReference"/>
                <w:b/>
                <w:sz w:val="22"/>
                <w:szCs w:val="22"/>
              </w:rPr>
              <w:footnoteReference w:id="10"/>
            </w:r>
          </w:p>
        </w:tc>
        <w:tc>
          <w:tcPr>
            <w:tcW w:w="500" w:type="pct"/>
          </w:tcPr>
          <w:p w:rsidR="006D3ED5" w:rsidRDefault="00DB04B8">
            <w:pPr>
              <w:suppressLineNumbers/>
              <w:suppressAutoHyphens/>
              <w:spacing w:after="120"/>
              <w:rPr>
                <w:sz w:val="22"/>
                <w:szCs w:val="22"/>
              </w:rPr>
            </w:pPr>
            <w:r>
              <w:rPr>
                <w:b/>
                <w:sz w:val="22"/>
                <w:szCs w:val="22"/>
              </w:rPr>
              <w:t>Purchase Type</w:t>
            </w:r>
            <w:r w:rsidR="005C0D05">
              <w:rPr>
                <w:rStyle w:val="FootnoteReference"/>
                <w:b/>
                <w:sz w:val="22"/>
                <w:szCs w:val="22"/>
              </w:rPr>
              <w:footnoteReference w:id="11"/>
            </w:r>
          </w:p>
        </w:tc>
        <w:tc>
          <w:tcPr>
            <w:tcW w:w="1250" w:type="pct"/>
          </w:tcPr>
          <w:p w:rsidR="006D3ED5" w:rsidRDefault="00DB04B8">
            <w:pPr>
              <w:suppressLineNumbers/>
              <w:suppressAutoHyphens/>
              <w:spacing w:after="120"/>
              <w:rPr>
                <w:sz w:val="22"/>
                <w:szCs w:val="22"/>
              </w:rPr>
            </w:pPr>
            <w:r>
              <w:rPr>
                <w:b/>
                <w:sz w:val="22"/>
                <w:szCs w:val="22"/>
              </w:rPr>
              <w:t>Vesting Schedule</w:t>
            </w:r>
            <w:r w:rsidR="00A240F7">
              <w:rPr>
                <w:rStyle w:val="FootnoteReference"/>
                <w:b/>
                <w:sz w:val="22"/>
                <w:szCs w:val="22"/>
              </w:rPr>
              <w:footnoteReference w:id="12"/>
            </w:r>
          </w:p>
        </w:tc>
      </w:tr>
      <w:tr w:rsidR="006D3ED5">
        <w:tc>
          <w:tcPr>
            <w:tcW w:w="1250" w:type="pct"/>
          </w:tcPr>
          <w:p w:rsidR="006D3ED5" w:rsidRDefault="00435123">
            <w:pPr>
              <w:suppressLineNumbers/>
              <w:suppressAutoHyphens/>
              <w:spacing w:after="120"/>
              <w:rPr>
                <w:sz w:val="22"/>
                <w:szCs w:val="22"/>
              </w:rPr>
            </w:pPr>
            <w:r>
              <w:rPr>
                <w:sz w:val="22"/>
                <w:szCs w:val="22"/>
              </w:rPr>
              <w:t>[Founder 1]</w:t>
            </w:r>
          </w:p>
        </w:tc>
        <w:tc>
          <w:tcPr>
            <w:tcW w:w="1250" w:type="pct"/>
          </w:tcPr>
          <w:p w:rsidR="006D3ED5" w:rsidRDefault="00435123">
            <w:pPr>
              <w:suppressLineNumbers/>
              <w:suppressAutoHyphens/>
              <w:spacing w:after="120"/>
              <w:rPr>
                <w:sz w:val="22"/>
                <w:szCs w:val="22"/>
              </w:rPr>
            </w:pPr>
            <w:r>
              <w:rPr>
                <w:sz w:val="22"/>
                <w:szCs w:val="22"/>
              </w:rPr>
              <w:t>[3,950,000] at $0.00001 per share</w:t>
            </w:r>
          </w:p>
        </w:tc>
        <w:tc>
          <w:tcPr>
            <w:tcW w:w="750" w:type="pct"/>
          </w:tcPr>
          <w:p w:rsidR="006D3ED5" w:rsidRDefault="005C0D05">
            <w:pPr>
              <w:suppressLineNumbers/>
              <w:suppressAutoHyphens/>
              <w:spacing w:after="120"/>
              <w:rPr>
                <w:sz w:val="22"/>
                <w:szCs w:val="22"/>
              </w:rPr>
            </w:pPr>
            <w:r>
              <w:rPr>
                <w:sz w:val="22"/>
                <w:szCs w:val="22"/>
              </w:rPr>
              <w:t>[</w:t>
            </w:r>
            <w:r w:rsidR="00435123">
              <w:rPr>
                <w:sz w:val="22"/>
                <w:szCs w:val="22"/>
              </w:rPr>
              <w:t>$39.50</w:t>
            </w:r>
            <w:r>
              <w:rPr>
                <w:sz w:val="22"/>
                <w:szCs w:val="22"/>
              </w:rPr>
              <w:t>]</w:t>
            </w:r>
            <w:r w:rsidR="00435123">
              <w:rPr>
                <w:sz w:val="22"/>
                <w:szCs w:val="22"/>
              </w:rPr>
              <w:t xml:space="preserve"> in IP value contributed (no cash)</w:t>
            </w:r>
          </w:p>
        </w:tc>
        <w:tc>
          <w:tcPr>
            <w:tcW w:w="500" w:type="pct"/>
          </w:tcPr>
          <w:p w:rsidR="006D3ED5" w:rsidRDefault="00435123">
            <w:pPr>
              <w:suppressLineNumbers/>
              <w:suppressAutoHyphens/>
              <w:spacing w:after="120"/>
              <w:rPr>
                <w:sz w:val="22"/>
                <w:szCs w:val="22"/>
              </w:rPr>
            </w:pPr>
            <w:r>
              <w:rPr>
                <w:sz w:val="22"/>
                <w:szCs w:val="22"/>
              </w:rPr>
              <w:t>Common</w:t>
            </w:r>
            <w:r w:rsidR="005C0D05">
              <w:rPr>
                <w:sz w:val="22"/>
                <w:szCs w:val="22"/>
              </w:rPr>
              <w:t xml:space="preserve"> Stock Purchase Agreement outside the Stock Plan</w:t>
            </w:r>
          </w:p>
        </w:tc>
        <w:tc>
          <w:tcPr>
            <w:tcW w:w="1250" w:type="pct"/>
          </w:tcPr>
          <w:p w:rsidR="006D3ED5" w:rsidRDefault="005C0D05">
            <w:pPr>
              <w:suppressLineNumbers/>
              <w:suppressAutoHyphens/>
              <w:spacing w:after="120"/>
              <w:rPr>
                <w:sz w:val="22"/>
                <w:szCs w:val="22"/>
              </w:rPr>
            </w:pPr>
            <w:r>
              <w:rPr>
                <w:sz w:val="22"/>
                <w:szCs w:val="22"/>
              </w:rPr>
              <w:t>25% of total shares vested at incorporation and 1/48th of total shares vest monthly thereafter.  50% double trigger acceleration upon a Change of Control.</w:t>
            </w:r>
          </w:p>
        </w:tc>
      </w:tr>
      <w:tr w:rsidR="00BC1C1C">
        <w:tc>
          <w:tcPr>
            <w:tcW w:w="1250" w:type="pct"/>
          </w:tcPr>
          <w:p w:rsidR="00BC1C1C" w:rsidRDefault="00BC1C1C">
            <w:pPr>
              <w:suppressLineNumbers/>
              <w:suppressAutoHyphens/>
              <w:spacing w:after="120"/>
              <w:rPr>
                <w:sz w:val="22"/>
                <w:szCs w:val="22"/>
              </w:rPr>
            </w:pPr>
            <w:r>
              <w:rPr>
                <w:sz w:val="22"/>
                <w:szCs w:val="22"/>
              </w:rPr>
              <w:t>[Founder 2]</w:t>
            </w:r>
          </w:p>
        </w:tc>
        <w:tc>
          <w:tcPr>
            <w:tcW w:w="1250" w:type="pct"/>
          </w:tcPr>
          <w:p w:rsidR="00BC1C1C" w:rsidRDefault="00BC1C1C">
            <w:pPr>
              <w:suppressLineNumbers/>
              <w:suppressAutoHyphens/>
              <w:spacing w:after="120"/>
              <w:rPr>
                <w:sz w:val="22"/>
                <w:szCs w:val="22"/>
              </w:rPr>
            </w:pPr>
            <w:r>
              <w:rPr>
                <w:sz w:val="22"/>
                <w:szCs w:val="22"/>
              </w:rPr>
              <w:t>[3,950,000] at $0.00001 per share</w:t>
            </w:r>
          </w:p>
        </w:tc>
        <w:tc>
          <w:tcPr>
            <w:tcW w:w="750" w:type="pct"/>
          </w:tcPr>
          <w:p w:rsidR="00BC1C1C" w:rsidRDefault="00BC1C1C">
            <w:pPr>
              <w:suppressLineNumbers/>
              <w:suppressAutoHyphens/>
              <w:spacing w:after="120"/>
              <w:rPr>
                <w:sz w:val="22"/>
                <w:szCs w:val="22"/>
              </w:rPr>
            </w:pPr>
            <w:r>
              <w:rPr>
                <w:sz w:val="22"/>
                <w:szCs w:val="22"/>
              </w:rPr>
              <w:t>[$39.50] in IP value contributed (no cash)</w:t>
            </w:r>
          </w:p>
        </w:tc>
        <w:tc>
          <w:tcPr>
            <w:tcW w:w="500" w:type="pct"/>
          </w:tcPr>
          <w:p w:rsidR="00BC1C1C" w:rsidRDefault="00BC1C1C">
            <w:pPr>
              <w:suppressLineNumbers/>
              <w:suppressAutoHyphens/>
              <w:spacing w:after="120"/>
              <w:rPr>
                <w:sz w:val="22"/>
                <w:szCs w:val="22"/>
              </w:rPr>
            </w:pPr>
            <w:r>
              <w:rPr>
                <w:sz w:val="22"/>
                <w:szCs w:val="22"/>
              </w:rPr>
              <w:t>Common Stock Purchase Agreement outside the Stock Plan</w:t>
            </w:r>
          </w:p>
        </w:tc>
        <w:tc>
          <w:tcPr>
            <w:tcW w:w="1250" w:type="pct"/>
          </w:tcPr>
          <w:p w:rsidR="00BC1C1C" w:rsidRDefault="00BC1C1C">
            <w:pPr>
              <w:suppressLineNumbers/>
              <w:suppressAutoHyphens/>
              <w:spacing w:after="120"/>
              <w:rPr>
                <w:sz w:val="22"/>
                <w:szCs w:val="22"/>
              </w:rPr>
            </w:pPr>
            <w:r>
              <w:rPr>
                <w:sz w:val="22"/>
                <w:szCs w:val="22"/>
              </w:rPr>
              <w:t>25% of total shares vested at incorporation and 1/48th of total shares vest monthly thereafter.  50% double trigger acceleration upon a Change of Control.</w:t>
            </w:r>
          </w:p>
        </w:tc>
      </w:tr>
      <w:tr w:rsidR="00BC1C1C">
        <w:tc>
          <w:tcPr>
            <w:tcW w:w="1250" w:type="pct"/>
          </w:tcPr>
          <w:p w:rsidR="00BC1C1C" w:rsidRDefault="00BC1C1C" w:rsidP="00643ED7">
            <w:pPr>
              <w:suppressLineNumbers/>
              <w:suppressAutoHyphens/>
              <w:spacing w:after="120"/>
              <w:rPr>
                <w:sz w:val="22"/>
                <w:szCs w:val="22"/>
              </w:rPr>
            </w:pPr>
            <w:r>
              <w:rPr>
                <w:sz w:val="22"/>
                <w:szCs w:val="22"/>
              </w:rPr>
              <w:t>[</w:t>
            </w:r>
            <w:r w:rsidR="00643ED7">
              <w:rPr>
                <w:sz w:val="22"/>
                <w:szCs w:val="22"/>
              </w:rPr>
              <w:t>Law Firm</w:t>
            </w:r>
            <w:r>
              <w:rPr>
                <w:sz w:val="22"/>
                <w:szCs w:val="22"/>
              </w:rPr>
              <w:t>]</w:t>
            </w:r>
            <w:r w:rsidR="00117DD2">
              <w:rPr>
                <w:rStyle w:val="FootnoteReference"/>
                <w:sz w:val="22"/>
                <w:szCs w:val="22"/>
              </w:rPr>
              <w:footnoteReference w:id="13"/>
            </w:r>
          </w:p>
        </w:tc>
        <w:tc>
          <w:tcPr>
            <w:tcW w:w="1250" w:type="pct"/>
          </w:tcPr>
          <w:p w:rsidR="00BC1C1C" w:rsidRDefault="00BC1C1C">
            <w:pPr>
              <w:suppressLineNumbers/>
              <w:suppressAutoHyphens/>
              <w:spacing w:after="120"/>
              <w:rPr>
                <w:sz w:val="22"/>
                <w:szCs w:val="22"/>
              </w:rPr>
            </w:pPr>
            <w:r>
              <w:rPr>
                <w:sz w:val="22"/>
                <w:szCs w:val="22"/>
              </w:rPr>
              <w:t>[100,000] at $0.00001 per share</w:t>
            </w:r>
          </w:p>
        </w:tc>
        <w:tc>
          <w:tcPr>
            <w:tcW w:w="750" w:type="pct"/>
          </w:tcPr>
          <w:p w:rsidR="00BC1C1C" w:rsidRDefault="00BC1C1C">
            <w:pPr>
              <w:suppressLineNumbers/>
              <w:suppressAutoHyphens/>
              <w:spacing w:after="120"/>
              <w:rPr>
                <w:sz w:val="22"/>
                <w:szCs w:val="22"/>
              </w:rPr>
            </w:pPr>
            <w:r>
              <w:rPr>
                <w:sz w:val="22"/>
                <w:szCs w:val="22"/>
              </w:rPr>
              <w:t>[$1.00] in cash</w:t>
            </w:r>
          </w:p>
        </w:tc>
        <w:tc>
          <w:tcPr>
            <w:tcW w:w="500" w:type="pct"/>
          </w:tcPr>
          <w:p w:rsidR="00BC1C1C" w:rsidRDefault="00BC1C1C">
            <w:pPr>
              <w:suppressLineNumbers/>
              <w:suppressAutoHyphens/>
              <w:spacing w:after="120"/>
              <w:rPr>
                <w:sz w:val="22"/>
                <w:szCs w:val="22"/>
              </w:rPr>
            </w:pPr>
            <w:r>
              <w:rPr>
                <w:sz w:val="22"/>
                <w:szCs w:val="22"/>
              </w:rPr>
              <w:t xml:space="preserve">Common Stock Purchase Agreement outside the </w:t>
            </w:r>
            <w:r>
              <w:rPr>
                <w:sz w:val="22"/>
                <w:szCs w:val="22"/>
              </w:rPr>
              <w:lastRenderedPageBreak/>
              <w:t>Stock Plan</w:t>
            </w:r>
          </w:p>
        </w:tc>
        <w:tc>
          <w:tcPr>
            <w:tcW w:w="1250" w:type="pct"/>
          </w:tcPr>
          <w:p w:rsidR="00BC1C1C" w:rsidRDefault="00BC1C1C">
            <w:pPr>
              <w:suppressLineNumbers/>
              <w:suppressAutoHyphens/>
              <w:spacing w:after="120"/>
              <w:rPr>
                <w:sz w:val="22"/>
                <w:szCs w:val="22"/>
              </w:rPr>
            </w:pPr>
            <w:r>
              <w:rPr>
                <w:sz w:val="22"/>
                <w:szCs w:val="22"/>
              </w:rPr>
              <w:lastRenderedPageBreak/>
              <w:t>25% of total shares vested at incorporation and 1/48th of total shares vest monthly thereafter.  50% double trigger acceleration upon a Change of Control.</w:t>
            </w:r>
          </w:p>
        </w:tc>
      </w:tr>
      <w:tr w:rsidR="00BC1C1C">
        <w:tc>
          <w:tcPr>
            <w:tcW w:w="1250" w:type="pct"/>
          </w:tcPr>
          <w:p w:rsidR="00BC1C1C" w:rsidRDefault="00BC1C1C" w:rsidP="00BC1C1C">
            <w:pPr>
              <w:suppressLineNumbers/>
              <w:suppressAutoHyphens/>
              <w:spacing w:after="120"/>
              <w:rPr>
                <w:sz w:val="22"/>
                <w:szCs w:val="22"/>
              </w:rPr>
            </w:pPr>
            <w:r>
              <w:rPr>
                <w:sz w:val="22"/>
                <w:szCs w:val="22"/>
              </w:rPr>
              <w:lastRenderedPageBreak/>
              <w:t>[Advisor 1]</w:t>
            </w:r>
            <w:r>
              <w:rPr>
                <w:rStyle w:val="FootnoteReference"/>
                <w:sz w:val="22"/>
                <w:szCs w:val="22"/>
              </w:rPr>
              <w:footnoteReference w:id="14"/>
            </w:r>
          </w:p>
        </w:tc>
        <w:tc>
          <w:tcPr>
            <w:tcW w:w="1250" w:type="pct"/>
          </w:tcPr>
          <w:p w:rsidR="00BC1C1C" w:rsidRDefault="00BC1C1C">
            <w:pPr>
              <w:suppressLineNumbers/>
              <w:suppressAutoHyphens/>
              <w:spacing w:after="120"/>
              <w:rPr>
                <w:sz w:val="22"/>
                <w:szCs w:val="22"/>
              </w:rPr>
            </w:pPr>
            <w:r>
              <w:rPr>
                <w:sz w:val="22"/>
                <w:szCs w:val="22"/>
              </w:rPr>
              <w:t>[50,000] at $0.00001 per share</w:t>
            </w:r>
          </w:p>
        </w:tc>
        <w:tc>
          <w:tcPr>
            <w:tcW w:w="750" w:type="pct"/>
          </w:tcPr>
          <w:p w:rsidR="00BC1C1C" w:rsidRDefault="00BC1C1C">
            <w:pPr>
              <w:suppressLineNumbers/>
              <w:suppressAutoHyphens/>
              <w:spacing w:after="120"/>
              <w:rPr>
                <w:sz w:val="22"/>
                <w:szCs w:val="22"/>
              </w:rPr>
            </w:pPr>
            <w:r>
              <w:rPr>
                <w:sz w:val="22"/>
                <w:szCs w:val="22"/>
              </w:rPr>
              <w:t>[$0.50] in cash</w:t>
            </w:r>
          </w:p>
        </w:tc>
        <w:tc>
          <w:tcPr>
            <w:tcW w:w="500" w:type="pct"/>
          </w:tcPr>
          <w:p w:rsidR="00BC1C1C" w:rsidRDefault="00BC1C1C">
            <w:pPr>
              <w:suppressLineNumbers/>
              <w:suppressAutoHyphens/>
              <w:spacing w:after="120"/>
              <w:rPr>
                <w:sz w:val="22"/>
                <w:szCs w:val="22"/>
              </w:rPr>
            </w:pPr>
            <w:proofErr w:type="spellStart"/>
            <w:r>
              <w:rPr>
                <w:sz w:val="22"/>
                <w:szCs w:val="22"/>
              </w:rPr>
              <w:t>RSP</w:t>
            </w:r>
            <w:proofErr w:type="spellEnd"/>
            <w:r>
              <w:rPr>
                <w:sz w:val="22"/>
                <w:szCs w:val="22"/>
              </w:rPr>
              <w:t xml:space="preserve"> Agreement under Stock Plan</w:t>
            </w:r>
          </w:p>
        </w:tc>
        <w:tc>
          <w:tcPr>
            <w:tcW w:w="1250" w:type="pct"/>
          </w:tcPr>
          <w:p w:rsidR="00BC1C1C" w:rsidRDefault="00710B08">
            <w:pPr>
              <w:suppressLineNumbers/>
              <w:suppressAutoHyphens/>
              <w:spacing w:after="120"/>
              <w:rPr>
                <w:sz w:val="22"/>
                <w:szCs w:val="22"/>
              </w:rPr>
            </w:pPr>
            <w:r>
              <w:rPr>
                <w:sz w:val="22"/>
                <w:szCs w:val="22"/>
              </w:rPr>
              <w:t>Total shares vest monthly over 2 years.  100% single trigger Change of Control vesting.</w:t>
            </w:r>
          </w:p>
        </w:tc>
      </w:tr>
      <w:tr w:rsidR="00710B08">
        <w:tc>
          <w:tcPr>
            <w:tcW w:w="1250" w:type="pct"/>
          </w:tcPr>
          <w:p w:rsidR="00710B08" w:rsidRDefault="00710B08" w:rsidP="00BC1C1C">
            <w:pPr>
              <w:suppressLineNumbers/>
              <w:suppressAutoHyphens/>
              <w:spacing w:after="120"/>
              <w:rPr>
                <w:sz w:val="22"/>
                <w:szCs w:val="22"/>
              </w:rPr>
            </w:pPr>
            <w:r>
              <w:rPr>
                <w:sz w:val="22"/>
                <w:szCs w:val="22"/>
              </w:rPr>
              <w:t>[Employee 1]</w:t>
            </w:r>
          </w:p>
        </w:tc>
        <w:tc>
          <w:tcPr>
            <w:tcW w:w="1250" w:type="pct"/>
          </w:tcPr>
          <w:p w:rsidR="00710B08" w:rsidRDefault="00710B08">
            <w:pPr>
              <w:suppressLineNumbers/>
              <w:suppressAutoHyphens/>
              <w:spacing w:after="120"/>
              <w:rPr>
                <w:sz w:val="22"/>
                <w:szCs w:val="22"/>
              </w:rPr>
            </w:pPr>
            <w:r>
              <w:rPr>
                <w:sz w:val="22"/>
                <w:szCs w:val="22"/>
              </w:rPr>
              <w:t>[25,000] at $0.00001 per share</w:t>
            </w:r>
          </w:p>
        </w:tc>
        <w:tc>
          <w:tcPr>
            <w:tcW w:w="750" w:type="pct"/>
          </w:tcPr>
          <w:p w:rsidR="00710B08" w:rsidRDefault="00710B08">
            <w:pPr>
              <w:suppressLineNumbers/>
              <w:suppressAutoHyphens/>
              <w:spacing w:after="120"/>
              <w:rPr>
                <w:sz w:val="22"/>
                <w:szCs w:val="22"/>
              </w:rPr>
            </w:pPr>
            <w:r>
              <w:rPr>
                <w:sz w:val="22"/>
                <w:szCs w:val="22"/>
              </w:rPr>
              <w:t>[$0.25] in cash</w:t>
            </w:r>
          </w:p>
        </w:tc>
        <w:tc>
          <w:tcPr>
            <w:tcW w:w="500" w:type="pct"/>
          </w:tcPr>
          <w:p w:rsidR="00710B08" w:rsidRDefault="00710B08">
            <w:pPr>
              <w:suppressLineNumbers/>
              <w:suppressAutoHyphens/>
              <w:spacing w:after="120"/>
              <w:rPr>
                <w:sz w:val="22"/>
                <w:szCs w:val="22"/>
              </w:rPr>
            </w:pPr>
            <w:proofErr w:type="spellStart"/>
            <w:r>
              <w:rPr>
                <w:sz w:val="22"/>
                <w:szCs w:val="22"/>
              </w:rPr>
              <w:t>RSP</w:t>
            </w:r>
            <w:proofErr w:type="spellEnd"/>
            <w:r>
              <w:rPr>
                <w:sz w:val="22"/>
                <w:szCs w:val="22"/>
              </w:rPr>
              <w:t xml:space="preserve"> Agreement under Stock Plan</w:t>
            </w:r>
          </w:p>
        </w:tc>
        <w:tc>
          <w:tcPr>
            <w:tcW w:w="1250" w:type="pct"/>
          </w:tcPr>
          <w:p w:rsidR="00710B08" w:rsidRDefault="00710B08">
            <w:pPr>
              <w:suppressLineNumbers/>
              <w:suppressAutoHyphens/>
              <w:spacing w:after="120"/>
              <w:rPr>
                <w:sz w:val="22"/>
                <w:szCs w:val="22"/>
              </w:rPr>
            </w:pPr>
            <w:r>
              <w:rPr>
                <w:sz w:val="22"/>
                <w:szCs w:val="22"/>
              </w:rPr>
              <w:t>25% of the total shares vest on the first anniversary of the date of grant and 1/48th of the total shares vest monthly thereafter.  50% double trigger Change of Control vesting.</w:t>
            </w:r>
          </w:p>
        </w:tc>
      </w:tr>
    </w:tbl>
    <w:p w:rsidR="00897890" w:rsidRDefault="00897890">
      <w:pPr>
        <w:suppressLineNumbers/>
        <w:suppressAutoHyphens/>
        <w:spacing w:after="120"/>
      </w:pPr>
    </w:p>
    <w:sectPr w:rsidR="00897890">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800" w:right="1440" w:bottom="1800" w:left="1440"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4B8" w:rsidRDefault="00DB04B8">
      <w:r>
        <w:separator/>
      </w:r>
    </w:p>
  </w:endnote>
  <w:endnote w:type="continuationSeparator" w:id="0">
    <w:p w:rsidR="00DB04B8" w:rsidRDefault="00DB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2D" w:rsidRDefault="00A565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D5" w:rsidRDefault="00DB04B8">
    <w:pPr>
      <w:pStyle w:val="Footer"/>
      <w:spacing w:line="200" w:lineRule="exact"/>
    </w:pPr>
    <w:r>
      <w:tab/>
      <w:t>-</w:t>
    </w:r>
    <w:r>
      <w:fldChar w:fldCharType="begin"/>
    </w:r>
    <w:r>
      <w:instrText xml:space="preserve"> PAGE \* MERGEFORMAT \* MERGEFORMAT </w:instrText>
    </w:r>
    <w:r>
      <w:fldChar w:fldCharType="separate"/>
    </w:r>
    <w:r w:rsidR="00A5652D">
      <w:rPr>
        <w:noProof/>
      </w:rPr>
      <w:t>2</w:t>
    </w:r>
    <w:r>
      <w:fldChar w:fldCharType="end"/>
    </w:r>
    <w:r>
      <w:t>-</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2D" w:rsidRDefault="00A565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D5" w:rsidRDefault="006D3ED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D5" w:rsidRDefault="00DB04B8">
    <w:pPr>
      <w:pStyle w:val="FooterLandscape"/>
      <w:rPr>
        <w:b w:val="0"/>
        <w:i w:val="0"/>
      </w:rPr>
    </w:pPr>
    <w:r>
      <w:rPr>
        <w:b w:val="0"/>
        <w:i w:val="0"/>
      </w:rPr>
      <w:tab/>
      <w:t>-</w:t>
    </w:r>
    <w:r>
      <w:rPr>
        <w:rStyle w:val="PageNumber"/>
        <w:b w:val="0"/>
        <w:i w:val="0"/>
      </w:rPr>
      <w:fldChar w:fldCharType="begin"/>
    </w:r>
    <w:r>
      <w:rPr>
        <w:rStyle w:val="PageNumber"/>
        <w:b w:val="0"/>
        <w:i w:val="0"/>
      </w:rPr>
      <w:instrText xml:space="preserve"> PAGE \* MERGEFORMAT \* MERGEFORMAT </w:instrText>
    </w:r>
    <w:r>
      <w:rPr>
        <w:rStyle w:val="PageNumber"/>
        <w:b w:val="0"/>
        <w:i w:val="0"/>
      </w:rPr>
      <w:fldChar w:fldCharType="separate"/>
    </w:r>
    <w:r w:rsidR="00A5652D">
      <w:rPr>
        <w:rStyle w:val="PageNumber"/>
        <w:b w:val="0"/>
        <w:i w:val="0"/>
        <w:noProof/>
      </w:rPr>
      <w:t>4</w:t>
    </w:r>
    <w:r>
      <w:rPr>
        <w:rStyle w:val="PageNumber"/>
        <w:b w:val="0"/>
        <w:i w:val="0"/>
      </w:rPr>
      <w:fldChar w:fldCharType="end"/>
    </w:r>
    <w:r>
      <w:rPr>
        <w:b w:val="0"/>
        <w:i w:val="0"/>
      </w:rPr>
      <w:t>-</w:t>
    </w:r>
    <w:r>
      <w:rPr>
        <w:b w:val="0"/>
        <w:i w:val="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D5" w:rsidRDefault="00DB04B8">
    <w:pPr>
      <w:pStyle w:val="FooterLandscape"/>
      <w:tabs>
        <w:tab w:val="left" w:pos="6240"/>
      </w:tabs>
      <w:rPr>
        <w:b w:val="0"/>
        <w:i w:val="0"/>
      </w:rPr>
    </w:pPr>
    <w:r>
      <w:rPr>
        <w:b w:val="0"/>
        <w:i w:val="0"/>
      </w:rPr>
      <w:tab/>
    </w:r>
    <w:r>
      <w:rPr>
        <w:b w:val="0"/>
        <w:i w:val="0"/>
      </w:rPr>
      <w:tab/>
      <w:t>-</w:t>
    </w:r>
    <w:r>
      <w:rPr>
        <w:rStyle w:val="PageNumber"/>
        <w:b w:val="0"/>
        <w:i w:val="0"/>
      </w:rPr>
      <w:fldChar w:fldCharType="begin"/>
    </w:r>
    <w:r>
      <w:rPr>
        <w:rStyle w:val="PageNumber"/>
        <w:b w:val="0"/>
        <w:i w:val="0"/>
      </w:rPr>
      <w:instrText xml:space="preserve"> PAGE \* MERGEFORMAT \* MERGEFORMAT </w:instrText>
    </w:r>
    <w:r>
      <w:rPr>
        <w:rStyle w:val="PageNumber"/>
        <w:b w:val="0"/>
        <w:i w:val="0"/>
      </w:rPr>
      <w:fldChar w:fldCharType="separate"/>
    </w:r>
    <w:r w:rsidR="00A5652D">
      <w:rPr>
        <w:rStyle w:val="PageNumber"/>
        <w:b w:val="0"/>
        <w:i w:val="0"/>
        <w:noProof/>
      </w:rPr>
      <w:t>3</w:t>
    </w:r>
    <w:r>
      <w:rPr>
        <w:rStyle w:val="PageNumber"/>
        <w:b w:val="0"/>
        <w:i w:val="0"/>
      </w:rPr>
      <w:fldChar w:fldCharType="end"/>
    </w:r>
    <w:r>
      <w:rPr>
        <w:b w:val="0"/>
        <w:i w:val="0"/>
      </w:rPr>
      <w:t>-</w:t>
    </w:r>
    <w:r>
      <w:rPr>
        <w:b w:val="0"/>
        <w:i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4B8" w:rsidRDefault="00DB04B8">
      <w:r>
        <w:separator/>
      </w:r>
    </w:p>
  </w:footnote>
  <w:footnote w:type="continuationSeparator" w:id="0">
    <w:p w:rsidR="00DB04B8" w:rsidRDefault="00DB04B8">
      <w:r>
        <w:continuationSeparator/>
      </w:r>
    </w:p>
  </w:footnote>
  <w:footnote w:id="1">
    <w:p w:rsidR="00635167" w:rsidRDefault="00635167">
      <w:pPr>
        <w:pStyle w:val="FootnoteText"/>
      </w:pPr>
      <w:r>
        <w:rPr>
          <w:rStyle w:val="FootnoteReference"/>
        </w:rPr>
        <w:footnoteRef/>
      </w:r>
      <w:r>
        <w:t xml:space="preserve"> This doesn’t need to be in Delaware and is often the home address for a founder.</w:t>
      </w:r>
    </w:p>
  </w:footnote>
  <w:footnote w:id="2">
    <w:p w:rsidR="00635167" w:rsidRDefault="00635167">
      <w:pPr>
        <w:pStyle w:val="FootnoteText"/>
      </w:pPr>
      <w:r>
        <w:rPr>
          <w:rStyle w:val="FootnoteReference"/>
        </w:rPr>
        <w:footnoteRef/>
      </w:r>
      <w:r>
        <w:t xml:space="preserve"> Make sure you reserve the URL yourself, don’t wait for the lawyers or anyone else to do that!  You will assign rights to the URL over to the company once it’s formed.</w:t>
      </w:r>
    </w:p>
  </w:footnote>
  <w:footnote w:id="3">
    <w:p w:rsidR="00635167" w:rsidRDefault="00635167">
      <w:pPr>
        <w:pStyle w:val="FootnoteText"/>
      </w:pPr>
      <w:r>
        <w:rPr>
          <w:rStyle w:val="FootnoteReference"/>
        </w:rPr>
        <w:footnoteRef/>
      </w:r>
      <w:r>
        <w:t xml:space="preserve"> This is only if you </w:t>
      </w:r>
      <w:r w:rsidR="006F693C">
        <w:t>plan to have a physical presence as in an office with employees located in multiple states.</w:t>
      </w:r>
    </w:p>
  </w:footnote>
  <w:footnote w:id="4">
    <w:p w:rsidR="006F693C" w:rsidRDefault="006F693C">
      <w:pPr>
        <w:pStyle w:val="FootnoteText"/>
      </w:pPr>
      <w:r>
        <w:rPr>
          <w:rStyle w:val="FootnoteReference"/>
        </w:rPr>
        <w:footnoteRef/>
      </w:r>
      <w:r>
        <w:t xml:space="preserve"> This is never more than 5 and initially its usually just 2 or 3 depending on how many founders there are and whether each founder will be on the board.  Don’t leave any vacancies.  The number can be increased later when others join the board.</w:t>
      </w:r>
    </w:p>
  </w:footnote>
  <w:footnote w:id="5">
    <w:p w:rsidR="006F693C" w:rsidRDefault="006F693C">
      <w:pPr>
        <w:pStyle w:val="FootnoteText"/>
      </w:pPr>
      <w:r>
        <w:rPr>
          <w:rStyle w:val="FootnoteReference"/>
        </w:rPr>
        <w:footnoteRef/>
      </w:r>
      <w:r>
        <w:t xml:space="preserve"> Give careful thought to which of the founders will be on the board.  A majority of board members control the company.  A majority of shares outstanding elects the entire board unless there’s a voting agreement in place.</w:t>
      </w:r>
    </w:p>
  </w:footnote>
  <w:footnote w:id="6">
    <w:p w:rsidR="006F693C" w:rsidRDefault="006F693C">
      <w:pPr>
        <w:pStyle w:val="FootnoteText"/>
      </w:pPr>
      <w:r>
        <w:rPr>
          <w:rStyle w:val="FootnoteReference"/>
        </w:rPr>
        <w:footnoteRef/>
      </w:r>
      <w:r>
        <w:t xml:space="preserve"> </w:t>
      </w:r>
      <w:r w:rsidR="00F16D91">
        <w:t>There should be a CEO, CFO and Secretary at a minimum.  VCs don’t like to see co-CEOs, they want one person to be responsible for running the company.  Your lawyer will often serve as the Secretary and keep the corporate minute book.</w:t>
      </w:r>
    </w:p>
  </w:footnote>
  <w:footnote w:id="7">
    <w:p w:rsidR="00F16D91" w:rsidRDefault="00F16D91">
      <w:pPr>
        <w:pStyle w:val="FootnoteText"/>
      </w:pPr>
      <w:r>
        <w:rPr>
          <w:rStyle w:val="FootnoteReference"/>
        </w:rPr>
        <w:footnoteRef/>
      </w:r>
      <w:r>
        <w:t xml:space="preserve"> Generally you want to reserve between 10% and 20% of the authorized shares for future issuances to new hires under the Stock Plan.  Larger numbers dilute the founders, but you need to be realistic and VCs like to see 20%.  It ultimately depends on how many key new hires you anticipate in the future.</w:t>
      </w:r>
    </w:p>
  </w:footnote>
  <w:footnote w:id="8">
    <w:p w:rsidR="00435123" w:rsidRDefault="00435123">
      <w:pPr>
        <w:pStyle w:val="FootnoteText"/>
      </w:pPr>
      <w:r>
        <w:rPr>
          <w:rStyle w:val="FootnoteReference"/>
        </w:rPr>
        <w:footnoteRef/>
      </w:r>
      <w:r>
        <w:t xml:space="preserve"> Check with your tax planner, but VCs will not invest in S Corps so most startups decide not to make this election.</w:t>
      </w:r>
    </w:p>
  </w:footnote>
  <w:footnote w:id="9">
    <w:p w:rsidR="00435123" w:rsidRDefault="00435123">
      <w:pPr>
        <w:pStyle w:val="FootnoteText"/>
      </w:pPr>
      <w:r>
        <w:rPr>
          <w:rStyle w:val="FootnoteReference"/>
        </w:rPr>
        <w:footnoteRef/>
      </w:r>
      <w:r>
        <w:t xml:space="preserve"> As modeled here, the founders will generally be issued an aggregate of 8M shares, leaving 2M shares for the Stock Plan.  The price per share at incorporation is nominal, but needs to be at least the par value per share as set forth here.</w:t>
      </w:r>
    </w:p>
  </w:footnote>
  <w:footnote w:id="10">
    <w:p w:rsidR="005C0D05" w:rsidRDefault="005C0D05">
      <w:pPr>
        <w:pStyle w:val="FootnoteText"/>
      </w:pPr>
      <w:r>
        <w:rPr>
          <w:rStyle w:val="FootnoteReference"/>
        </w:rPr>
        <w:footnoteRef/>
      </w:r>
      <w:r>
        <w:t xml:space="preserve"> Founders who actually have been working on the company’s business plan and IP will be signing a general contribution agreement upon incorporation which serves as the consideration for their shares.  Others who have no IP to contribute, like law firms, need to pay cash.</w:t>
      </w:r>
    </w:p>
  </w:footnote>
  <w:footnote w:id="11">
    <w:p w:rsidR="005C0D05" w:rsidRDefault="005C0D05">
      <w:pPr>
        <w:pStyle w:val="FootnoteText"/>
      </w:pPr>
      <w:r>
        <w:rPr>
          <w:rStyle w:val="FootnoteReference"/>
        </w:rPr>
        <w:footnoteRef/>
      </w:r>
      <w:r>
        <w:t xml:space="preserve"> Founders generally get their shares outside of the Stock Plan, but often you will be adopting the Stock Plan and granting shares under it to your initial employees at the time of the incorporation.  Employees generally get </w:t>
      </w:r>
      <w:proofErr w:type="spellStart"/>
      <w:r>
        <w:t>RSP</w:t>
      </w:r>
      <w:proofErr w:type="spellEnd"/>
      <w:r>
        <w:t xml:space="preserve"> Agreements under the Stock Plan.</w:t>
      </w:r>
    </w:p>
  </w:footnote>
  <w:footnote w:id="12">
    <w:p w:rsidR="00A240F7" w:rsidRDefault="00A240F7">
      <w:pPr>
        <w:pStyle w:val="FootnoteText"/>
      </w:pPr>
      <w:r>
        <w:rPr>
          <w:rStyle w:val="FootnoteReference"/>
        </w:rPr>
        <w:footnoteRef/>
      </w:r>
      <w:r>
        <w:t xml:space="preserve"> This shows the most common choices for vesting of founders</w:t>
      </w:r>
      <w:r w:rsidR="00BC1C1C">
        <w:t>, advisors</w:t>
      </w:r>
      <w:r>
        <w:t xml:space="preserve"> and employees, respectively.  There are lots of possible permutations, but it’s much better to keep things as simple as possible by having no more than </w:t>
      </w:r>
      <w:r w:rsidR="00BC1C1C">
        <w:t>three</w:t>
      </w:r>
      <w:r>
        <w:t xml:space="preserve"> types of vesting provisions and everyone gets founder vesting</w:t>
      </w:r>
      <w:r w:rsidR="00BC1C1C">
        <w:t>, advisor vesting</w:t>
      </w:r>
      <w:r>
        <w:t xml:space="preserve"> or employee vesting.</w:t>
      </w:r>
    </w:p>
  </w:footnote>
  <w:footnote w:id="13">
    <w:p w:rsidR="00117DD2" w:rsidRDefault="00117DD2">
      <w:pPr>
        <w:pStyle w:val="FootnoteText"/>
      </w:pPr>
      <w:r>
        <w:rPr>
          <w:rStyle w:val="FootnoteReference"/>
        </w:rPr>
        <w:footnoteRef/>
      </w:r>
      <w:r>
        <w:t xml:space="preserve"> </w:t>
      </w:r>
      <w:r w:rsidR="00AE1F71">
        <w:t>It’s not uncommon for your law firm to receive 1.00% of the fully diluted shares at the founders round.</w:t>
      </w:r>
    </w:p>
  </w:footnote>
  <w:footnote w:id="14">
    <w:p w:rsidR="00BC1C1C" w:rsidRDefault="00BC1C1C">
      <w:pPr>
        <w:pStyle w:val="FootnoteText"/>
      </w:pPr>
      <w:r>
        <w:rPr>
          <w:rStyle w:val="FootnoteReference"/>
        </w:rPr>
        <w:footnoteRef/>
      </w:r>
      <w:r>
        <w:t xml:space="preserve"> Advisors typically get around 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2D" w:rsidRDefault="00A56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2D" w:rsidRDefault="00A565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2D" w:rsidRDefault="00A565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D5" w:rsidRDefault="006D3ED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D5" w:rsidRDefault="006D3E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D5" w:rsidRDefault="006D3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447AD"/>
    <w:multiLevelType w:val="singleLevel"/>
    <w:tmpl w:val="F2542A62"/>
    <w:lvl w:ilvl="0">
      <w:start w:val="1"/>
      <w:numFmt w:val="bullet"/>
      <w:pStyle w:val="SLS-Bullet"/>
      <w:lvlText w:val=""/>
      <w:lvlJc w:val="left"/>
      <w:pPr>
        <w:tabs>
          <w:tab w:val="num" w:pos="360"/>
        </w:tabs>
        <w:ind w:left="360" w:hanging="360"/>
      </w:pPr>
      <w:rPr>
        <w:rFonts w:ascii="Symbol" w:hAnsi="Symbol" w:hint="default"/>
      </w:rPr>
    </w:lvl>
  </w:abstractNum>
  <w:abstractNum w:abstractNumId="1">
    <w:nsid w:val="252E21C6"/>
    <w:multiLevelType w:val="hybridMultilevel"/>
    <w:tmpl w:val="0BECD0BE"/>
    <w:lvl w:ilvl="0" w:tplc="834ED54C">
      <w:start w:val="1"/>
      <w:numFmt w:val="bullet"/>
      <w:pStyle w:val="SLS-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E36857"/>
    <w:multiLevelType w:val="hybridMultilevel"/>
    <w:tmpl w:val="B614974E"/>
    <w:lvl w:ilvl="0" w:tplc="CDFCE2FC">
      <w:start w:val="1"/>
      <w:numFmt w:val="bullet"/>
      <w:pStyle w:val="SLS-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890"/>
    <w:rsid w:val="00117DD2"/>
    <w:rsid w:val="00236206"/>
    <w:rsid w:val="00435123"/>
    <w:rsid w:val="005C0D05"/>
    <w:rsid w:val="00635167"/>
    <w:rsid w:val="00643ED7"/>
    <w:rsid w:val="006D3ED5"/>
    <w:rsid w:val="006F693C"/>
    <w:rsid w:val="00710B08"/>
    <w:rsid w:val="00802E54"/>
    <w:rsid w:val="00897890"/>
    <w:rsid w:val="00A240F7"/>
    <w:rsid w:val="00A5652D"/>
    <w:rsid w:val="00AB0FD0"/>
    <w:rsid w:val="00AE1F71"/>
    <w:rsid w:val="00BC1C1C"/>
    <w:rsid w:val="00DA7903"/>
    <w:rsid w:val="00DB04B8"/>
    <w:rsid w:val="00F1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9"/>
    <w:qFormat/>
    <w:pPr>
      <w:keepNext/>
      <w:spacing w:after="240"/>
      <w:outlineLvl w:val="1"/>
    </w:pPr>
    <w:rPr>
      <w:rFonts w:ascii="Times New Roman Bold" w:hAnsi="Times New Roman Bold"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pPr>
      <w:widowControl w:val="0"/>
      <w:spacing w:after="240"/>
      <w:ind w:firstLine="7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BodyTextContinued">
    <w:name w:val="Body Text Continued"/>
    <w:basedOn w:val="BodyText"/>
    <w:next w:val="BodyText"/>
    <w:uiPriority w:val="99"/>
    <w:pPr>
      <w:ind w:firstLine="0"/>
    </w:pPr>
    <w:rPr>
      <w:szCs w:val="20"/>
    </w:rPr>
  </w:style>
  <w:style w:type="paragraph" w:styleId="Quote">
    <w:name w:val="Quote"/>
    <w:basedOn w:val="Normal"/>
    <w:next w:val="BodyTextContinued"/>
    <w:link w:val="QuoteChar"/>
    <w:uiPriority w:val="99"/>
    <w:qFormat/>
    <w:pPr>
      <w:spacing w:after="240"/>
      <w:ind w:left="1440" w:right="1440"/>
    </w:pPr>
    <w:rPr>
      <w:szCs w:val="20"/>
    </w:rPr>
  </w:style>
  <w:style w:type="character" w:customStyle="1" w:styleId="QuoteChar">
    <w:name w:val="Quote Char"/>
    <w:basedOn w:val="DefaultParagraphFont"/>
    <w:link w:val="Quote"/>
    <w:uiPriority w:val="29"/>
    <w:locked/>
    <w:rPr>
      <w:rFonts w:cs="Times New Roman"/>
      <w:i/>
      <w:iCs/>
      <w:color w:val="000000"/>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92"/>
        <w:tab w:val="right" w:pos="8784"/>
      </w:tabs>
    </w:pPr>
  </w:style>
  <w:style w:type="character" w:customStyle="1" w:styleId="FooterChar">
    <w:name w:val="Footer Char"/>
    <w:basedOn w:val="DefaultParagraphFont"/>
    <w:link w:val="Footer"/>
    <w:uiPriority w:val="99"/>
    <w:semiHidden/>
    <w:locked/>
    <w:rPr>
      <w:rFonts w:cs="Times New Roman"/>
      <w:sz w:val="24"/>
      <w:szCs w:val="24"/>
      <w:lang w:val="en-US" w:eastAsia="en-US" w:bidi="ar-SA"/>
    </w:rPr>
  </w:style>
  <w:style w:type="character" w:styleId="PageNumber">
    <w:name w:val="page number"/>
    <w:basedOn w:val="DefaultParagraphFont"/>
    <w:uiPriority w:val="99"/>
    <w:rPr>
      <w:rFonts w:cs="Times New Roman"/>
    </w:rPr>
  </w:style>
  <w:style w:type="paragraph" w:customStyle="1" w:styleId="SLS-BodyText5">
    <w:name w:val="SLS-Body Text .5&quot;"/>
    <w:aliases w:val="S2"/>
    <w:basedOn w:val="Normal"/>
    <w:uiPriority w:val="99"/>
    <w:pPr>
      <w:spacing w:after="240"/>
      <w:ind w:firstLine="720"/>
    </w:pPr>
    <w:rPr>
      <w:szCs w:val="20"/>
    </w:rPr>
  </w:style>
  <w:style w:type="paragraph" w:customStyle="1" w:styleId="SLS-BodyText1">
    <w:name w:val="SLS-Body Text 1&quot;"/>
    <w:aliases w:val="S3"/>
    <w:basedOn w:val="Normal"/>
    <w:uiPriority w:val="99"/>
    <w:pPr>
      <w:spacing w:after="240"/>
      <w:ind w:firstLine="1440"/>
    </w:pPr>
    <w:rPr>
      <w:szCs w:val="20"/>
    </w:rPr>
  </w:style>
  <w:style w:type="paragraph" w:customStyle="1" w:styleId="SLS-BodyText">
    <w:name w:val="SLS-Body Text"/>
    <w:aliases w:val="S1"/>
    <w:basedOn w:val="Normal"/>
    <w:uiPriority w:val="99"/>
    <w:pPr>
      <w:spacing w:after="240"/>
    </w:pPr>
    <w:rPr>
      <w:szCs w:val="20"/>
    </w:rPr>
  </w:style>
  <w:style w:type="paragraph" w:customStyle="1" w:styleId="SLS-Bullet">
    <w:name w:val="SLS-Bullet"/>
    <w:aliases w:val="S4"/>
    <w:basedOn w:val="Normal"/>
    <w:uiPriority w:val="99"/>
    <w:pPr>
      <w:numPr>
        <w:numId w:val="1"/>
      </w:numPr>
      <w:spacing w:after="240"/>
    </w:pPr>
    <w:rPr>
      <w:szCs w:val="20"/>
    </w:rPr>
  </w:style>
  <w:style w:type="paragraph" w:customStyle="1" w:styleId="SLS-Indent5">
    <w:name w:val="SLS-Indent .5&quot;"/>
    <w:aliases w:val="S5"/>
    <w:basedOn w:val="Normal"/>
    <w:uiPriority w:val="99"/>
    <w:pPr>
      <w:spacing w:after="240"/>
      <w:ind w:left="720"/>
    </w:pPr>
    <w:rPr>
      <w:szCs w:val="20"/>
    </w:rPr>
  </w:style>
  <w:style w:type="paragraph" w:customStyle="1" w:styleId="SLS-Indent1">
    <w:name w:val="SLS-Indent 1&quot;"/>
    <w:aliases w:val="S6"/>
    <w:basedOn w:val="Normal"/>
    <w:uiPriority w:val="99"/>
    <w:pPr>
      <w:spacing w:after="240"/>
      <w:ind w:left="1440"/>
    </w:pPr>
    <w:rPr>
      <w:szCs w:val="20"/>
    </w:rPr>
  </w:style>
  <w:style w:type="paragraph" w:customStyle="1" w:styleId="SLS-IndentedQuote">
    <w:name w:val="SLS-Indented Quote"/>
    <w:aliases w:val="S7"/>
    <w:basedOn w:val="Normal"/>
    <w:uiPriority w:val="99"/>
    <w:pPr>
      <w:spacing w:after="240"/>
      <w:ind w:left="1440" w:right="1440"/>
    </w:pPr>
    <w:rPr>
      <w:szCs w:val="20"/>
    </w:rPr>
  </w:style>
  <w:style w:type="paragraph" w:customStyle="1" w:styleId="SLS-Signature">
    <w:name w:val="SLS-Signature"/>
    <w:aliases w:val="S12"/>
    <w:basedOn w:val="Normal"/>
    <w:next w:val="Normal"/>
    <w:uiPriority w:val="99"/>
    <w:pPr>
      <w:keepNext/>
      <w:keepLines/>
      <w:spacing w:after="240"/>
      <w:ind w:left="5040"/>
    </w:pPr>
    <w:rPr>
      <w:szCs w:val="20"/>
    </w:rPr>
  </w:style>
  <w:style w:type="paragraph" w:customStyle="1" w:styleId="SLS-TITLECENTEREDB">
    <w:name w:val="SLS-TITLE CENTERED (B)"/>
    <w:aliases w:val="S10"/>
    <w:basedOn w:val="Normal"/>
    <w:next w:val="Normal"/>
    <w:uiPriority w:val="99"/>
    <w:pPr>
      <w:keepNext/>
      <w:keepLines/>
      <w:spacing w:after="240"/>
      <w:jc w:val="center"/>
    </w:pPr>
    <w:rPr>
      <w:rFonts w:hAnsi="Times New Roman Bold"/>
      <w:b/>
      <w:caps/>
      <w:szCs w:val="20"/>
    </w:rPr>
  </w:style>
  <w:style w:type="paragraph" w:customStyle="1" w:styleId="SLS-TITLECENTEREDU">
    <w:name w:val="SLS-TITLE CENTERED (U)"/>
    <w:aliases w:val="S8"/>
    <w:basedOn w:val="Normal"/>
    <w:next w:val="Normal"/>
    <w:uiPriority w:val="99"/>
    <w:pPr>
      <w:keepNext/>
      <w:keepLines/>
      <w:spacing w:after="240"/>
      <w:jc w:val="center"/>
    </w:pPr>
    <w:rPr>
      <w:caps/>
      <w:szCs w:val="20"/>
      <w:u w:val="single"/>
    </w:rPr>
  </w:style>
  <w:style w:type="paragraph" w:customStyle="1" w:styleId="SLS-TitleLeftBold">
    <w:name w:val="SLS-Title Left Bold"/>
    <w:aliases w:val="S11"/>
    <w:basedOn w:val="Normal"/>
    <w:next w:val="Normal"/>
    <w:uiPriority w:val="99"/>
    <w:pPr>
      <w:keepNext/>
      <w:keepLines/>
      <w:spacing w:after="240"/>
    </w:pPr>
    <w:rPr>
      <w:b/>
      <w:szCs w:val="20"/>
    </w:rPr>
  </w:style>
  <w:style w:type="paragraph" w:customStyle="1" w:styleId="SLS-TitleLeftUnderlined">
    <w:name w:val="SLS-Title Left Underlined"/>
    <w:aliases w:val="S9,O-Title Left (U)"/>
    <w:basedOn w:val="Normal"/>
    <w:next w:val="Normal"/>
    <w:uiPriority w:val="99"/>
    <w:pPr>
      <w:keepNext/>
      <w:keepLines/>
      <w:spacing w:after="240"/>
    </w:pPr>
    <w:rPr>
      <w:szCs w:val="20"/>
      <w:u w:val="single"/>
    </w:rPr>
  </w:style>
  <w:style w:type="paragraph" w:customStyle="1" w:styleId="SLS-BodyTextDS">
    <w:name w:val="SLS-Body Text (DS)"/>
    <w:aliases w:val="28"/>
    <w:basedOn w:val="Normal"/>
    <w:uiPriority w:val="99"/>
    <w:pPr>
      <w:spacing w:line="480" w:lineRule="auto"/>
    </w:pPr>
    <w:rPr>
      <w:szCs w:val="20"/>
    </w:rPr>
  </w:style>
  <w:style w:type="paragraph" w:customStyle="1" w:styleId="SLS-BodyTextJ">
    <w:name w:val="SLS-Body Text (J)"/>
    <w:aliases w:val="s13"/>
    <w:basedOn w:val="Normal"/>
    <w:uiPriority w:val="99"/>
    <w:pPr>
      <w:spacing w:after="240"/>
      <w:jc w:val="both"/>
    </w:pPr>
    <w:rPr>
      <w:szCs w:val="20"/>
    </w:rPr>
  </w:style>
  <w:style w:type="paragraph" w:customStyle="1" w:styleId="SLS-BodyText5J">
    <w:name w:val="SLS-Body Text .5&quot; (J)"/>
    <w:aliases w:val="s14"/>
    <w:basedOn w:val="Normal"/>
    <w:uiPriority w:val="99"/>
    <w:pPr>
      <w:spacing w:after="240"/>
      <w:ind w:firstLine="720"/>
      <w:jc w:val="both"/>
    </w:pPr>
    <w:rPr>
      <w:szCs w:val="20"/>
    </w:rPr>
  </w:style>
  <w:style w:type="paragraph" w:customStyle="1" w:styleId="SLS-BodyText5DS">
    <w:name w:val="SLS-Body Text .5” (DS)"/>
    <w:aliases w:val="s29"/>
    <w:basedOn w:val="Normal"/>
    <w:uiPriority w:val="99"/>
    <w:pPr>
      <w:keepLines/>
      <w:spacing w:line="480" w:lineRule="auto"/>
      <w:ind w:firstLine="720"/>
    </w:pPr>
    <w:rPr>
      <w:szCs w:val="20"/>
    </w:rPr>
  </w:style>
  <w:style w:type="paragraph" w:customStyle="1" w:styleId="SLS-BodyText1J">
    <w:name w:val="SLS-Body Text 1&quot; (J)"/>
    <w:aliases w:val="s15"/>
    <w:basedOn w:val="Normal"/>
    <w:uiPriority w:val="99"/>
    <w:pPr>
      <w:spacing w:after="240"/>
      <w:ind w:firstLine="1440"/>
      <w:jc w:val="both"/>
    </w:pPr>
    <w:rPr>
      <w:szCs w:val="20"/>
    </w:rPr>
  </w:style>
  <w:style w:type="paragraph" w:customStyle="1" w:styleId="SLS-BodyText1DS">
    <w:name w:val="SLS-Body Text 1” (DS)"/>
    <w:aliases w:val="30"/>
    <w:basedOn w:val="Normal"/>
    <w:uiPriority w:val="99"/>
    <w:pPr>
      <w:spacing w:line="480" w:lineRule="auto"/>
      <w:ind w:firstLine="1440"/>
    </w:pPr>
    <w:rPr>
      <w:szCs w:val="20"/>
    </w:rPr>
  </w:style>
  <w:style w:type="paragraph" w:customStyle="1" w:styleId="SLS-Bullet5">
    <w:name w:val="SLS-Bullet .5&quot;"/>
    <w:aliases w:val="s26"/>
    <w:basedOn w:val="Normal"/>
    <w:uiPriority w:val="99"/>
    <w:pPr>
      <w:keepLines/>
      <w:numPr>
        <w:numId w:val="2"/>
      </w:numPr>
      <w:tabs>
        <w:tab w:val="num" w:pos="1800"/>
      </w:tabs>
      <w:spacing w:after="240"/>
      <w:ind w:left="1800"/>
    </w:pPr>
    <w:rPr>
      <w:szCs w:val="20"/>
    </w:rPr>
  </w:style>
  <w:style w:type="paragraph" w:customStyle="1" w:styleId="SLS-bullet1">
    <w:name w:val="SLS-bullet 1&quot;"/>
    <w:aliases w:val="s27"/>
    <w:basedOn w:val="Normal"/>
    <w:uiPriority w:val="99"/>
    <w:pPr>
      <w:keepLines/>
      <w:numPr>
        <w:numId w:val="3"/>
      </w:numPr>
      <w:spacing w:after="240"/>
      <w:ind w:left="360"/>
    </w:pPr>
    <w:rPr>
      <w:szCs w:val="20"/>
    </w:rPr>
  </w:style>
  <w:style w:type="paragraph" w:customStyle="1" w:styleId="SLS-QuoteDS">
    <w:name w:val="SLS-Quote (DS)"/>
    <w:aliases w:val="s17"/>
    <w:basedOn w:val="Normal"/>
    <w:uiPriority w:val="99"/>
    <w:pPr>
      <w:keepLines/>
      <w:spacing w:line="480" w:lineRule="auto"/>
      <w:ind w:left="1440" w:right="1440"/>
    </w:pPr>
    <w:rPr>
      <w:szCs w:val="20"/>
    </w:rPr>
  </w:style>
  <w:style w:type="paragraph" w:customStyle="1" w:styleId="SLS-QuoteJ">
    <w:name w:val="SLS-Quote (J)"/>
    <w:aliases w:val="s16"/>
    <w:basedOn w:val="Normal"/>
    <w:uiPriority w:val="99"/>
    <w:pPr>
      <w:keepLines/>
      <w:spacing w:after="240"/>
      <w:ind w:left="1440" w:right="1440"/>
      <w:jc w:val="both"/>
    </w:pPr>
    <w:rPr>
      <w:szCs w:val="20"/>
    </w:rPr>
  </w:style>
  <w:style w:type="paragraph" w:customStyle="1" w:styleId="SLS-SignatureLA">
    <w:name w:val="SLS-Signature (LA)"/>
    <w:aliases w:val="s18"/>
    <w:basedOn w:val="Normal"/>
    <w:uiPriority w:val="99"/>
    <w:pPr>
      <w:keepLines/>
      <w:tabs>
        <w:tab w:val="right" w:pos="2880"/>
      </w:tabs>
      <w:spacing w:before="720" w:after="240"/>
      <w:ind w:left="547" w:hanging="547"/>
    </w:pPr>
    <w:rPr>
      <w:szCs w:val="20"/>
    </w:rPr>
  </w:style>
  <w:style w:type="paragraph" w:customStyle="1" w:styleId="SLS-TitleBldCtrLowerCaps">
    <w:name w:val="SLS-Title (Bld) (Ctr) (Lower Caps)"/>
    <w:aliases w:val="s20"/>
    <w:basedOn w:val="Normal"/>
    <w:uiPriority w:val="99"/>
    <w:pPr>
      <w:keepNext/>
      <w:spacing w:after="240"/>
      <w:jc w:val="center"/>
    </w:pPr>
    <w:rPr>
      <w:b/>
      <w:bCs/>
      <w:szCs w:val="20"/>
    </w:rPr>
  </w:style>
  <w:style w:type="paragraph" w:customStyle="1" w:styleId="SLS-TitleCLowerCaps">
    <w:name w:val="SLS-Title (C) (Lower Caps)"/>
    <w:aliases w:val="s21"/>
    <w:basedOn w:val="Normal"/>
    <w:next w:val="Normal"/>
    <w:uiPriority w:val="99"/>
    <w:pPr>
      <w:keepNext/>
      <w:spacing w:after="240"/>
      <w:jc w:val="center"/>
    </w:pPr>
    <w:rPr>
      <w:szCs w:val="20"/>
    </w:rPr>
  </w:style>
  <w:style w:type="paragraph" w:customStyle="1" w:styleId="SLS-TitleLeftBldU">
    <w:name w:val="SLS-Title Left (Bld) (U)"/>
    <w:aliases w:val="s19"/>
    <w:basedOn w:val="Normal"/>
    <w:next w:val="Normal"/>
    <w:uiPriority w:val="99"/>
    <w:pPr>
      <w:keepNext/>
      <w:spacing w:after="240"/>
    </w:pPr>
    <w:rPr>
      <w:b/>
      <w:bCs/>
      <w:szCs w:val="20"/>
      <w:u w:val="single"/>
    </w:rPr>
  </w:style>
  <w:style w:type="paragraph" w:customStyle="1" w:styleId="SLS-TitleLeftIUBld">
    <w:name w:val="SLS-Title Left (I) (U) (Bld)"/>
    <w:aliases w:val="s25"/>
    <w:basedOn w:val="Normal"/>
    <w:next w:val="Normal"/>
    <w:uiPriority w:val="99"/>
    <w:pPr>
      <w:keepNext/>
      <w:spacing w:after="240"/>
    </w:pPr>
    <w:rPr>
      <w:b/>
      <w:bCs/>
      <w:i/>
      <w:iCs/>
      <w:szCs w:val="20"/>
      <w:u w:val="single"/>
    </w:rPr>
  </w:style>
  <w:style w:type="paragraph" w:customStyle="1" w:styleId="SLS-TitleLeftIU">
    <w:name w:val="SLS-Title Left (I) (U)"/>
    <w:aliases w:val="s24"/>
    <w:basedOn w:val="Normal"/>
    <w:next w:val="Normal"/>
    <w:uiPriority w:val="99"/>
    <w:pPr>
      <w:keepNext/>
      <w:spacing w:after="240"/>
    </w:pPr>
    <w:rPr>
      <w:bCs/>
      <w:i/>
      <w:szCs w:val="20"/>
      <w:u w:val="single"/>
    </w:rPr>
  </w:style>
  <w:style w:type="paragraph" w:customStyle="1" w:styleId="SLS-TitleLeftI">
    <w:name w:val="SLS-Title Left (I)"/>
    <w:aliases w:val="s23"/>
    <w:basedOn w:val="Normal"/>
    <w:uiPriority w:val="99"/>
    <w:pPr>
      <w:keepNext/>
      <w:spacing w:after="240"/>
    </w:pPr>
    <w:rPr>
      <w:b/>
      <w:bCs/>
      <w:i/>
      <w:iCs/>
      <w:szCs w:val="20"/>
    </w:rPr>
  </w:style>
  <w:style w:type="paragraph" w:customStyle="1" w:styleId="SLS-TitleO-CtrBldULowerCaps">
    <w:name w:val="SLS-Title O-(Ctr) (Bld) (U) (Lower Caps)"/>
    <w:aliases w:val="s22"/>
    <w:basedOn w:val="Normal"/>
    <w:next w:val="Normal"/>
    <w:uiPriority w:val="99"/>
    <w:pPr>
      <w:keepNext/>
      <w:spacing w:after="240"/>
      <w:jc w:val="center"/>
    </w:pPr>
    <w:rPr>
      <w:b/>
      <w:bCs/>
      <w:szCs w:val="2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zzmpTrailerItem">
    <w:name w:val="zzmpTrailerItem"/>
    <w:basedOn w:val="DefaultParagraphFont"/>
    <w:uiPriority w:val="99"/>
    <w:rPr>
      <w:rFonts w:ascii="Times New Roman" w:hAnsi="Times New Roman" w:cs="Times New Roman"/>
      <w:noProof/>
      <w:color w:val="000000"/>
      <w:spacing w:val="0"/>
      <w:position w:val="0"/>
      <w:sz w:val="16"/>
      <w:szCs w:val="16"/>
      <w:u w:val="none"/>
      <w:effect w:val="none"/>
      <w:vertAlign w:val="baseline"/>
    </w:rPr>
  </w:style>
  <w:style w:type="table" w:styleId="TableGrid">
    <w:name w:val="Table Grid"/>
    <w:basedOn w:val="TableNormal"/>
    <w:uiPriority w:val="59"/>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Normal"/>
    <w:link w:val="FooterLandscapeChar"/>
    <w:pPr>
      <w:suppressLineNumbers/>
      <w:tabs>
        <w:tab w:val="center" w:pos="6480"/>
        <w:tab w:val="right" w:pos="12960"/>
      </w:tabs>
      <w:suppressAutoHyphens/>
      <w:spacing w:after="120"/>
    </w:pPr>
    <w:rPr>
      <w:b/>
      <w:i/>
    </w:rPr>
  </w:style>
  <w:style w:type="character" w:customStyle="1" w:styleId="FooterLandscapeChar">
    <w:name w:val="Footer Landscape Char"/>
    <w:basedOn w:val="DefaultParagraphFont"/>
    <w:link w:val="FooterLandscape"/>
    <w:locked/>
    <w:rPr>
      <w:rFonts w:cs="Times New Roman"/>
      <w:b/>
      <w:i/>
      <w:sz w:val="24"/>
      <w:szCs w:val="24"/>
    </w:rPr>
  </w:style>
  <w:style w:type="paragraph" w:styleId="FootnoteText">
    <w:name w:val="footnote text"/>
    <w:basedOn w:val="Normal"/>
    <w:link w:val="FootnoteTextChar"/>
    <w:uiPriority w:val="99"/>
    <w:rsid w:val="00635167"/>
    <w:rPr>
      <w:sz w:val="20"/>
      <w:szCs w:val="20"/>
    </w:rPr>
  </w:style>
  <w:style w:type="character" w:customStyle="1" w:styleId="FootnoteTextChar">
    <w:name w:val="Footnote Text Char"/>
    <w:basedOn w:val="DefaultParagraphFont"/>
    <w:link w:val="FootnoteText"/>
    <w:uiPriority w:val="99"/>
    <w:rsid w:val="00635167"/>
  </w:style>
  <w:style w:type="character" w:styleId="FootnoteReference">
    <w:name w:val="footnote reference"/>
    <w:basedOn w:val="DefaultParagraphFont"/>
    <w:uiPriority w:val="99"/>
    <w:rsid w:val="006351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link w:val="Heading2Char"/>
    <w:uiPriority w:val="99"/>
    <w:qFormat/>
    <w:pPr>
      <w:keepNext/>
      <w:spacing w:after="240"/>
      <w:outlineLvl w:val="1"/>
    </w:pPr>
    <w:rPr>
      <w:rFonts w:ascii="Times New Roman Bold" w:hAnsi="Times New Roman Bold"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pPr>
      <w:widowControl w:val="0"/>
      <w:spacing w:after="240"/>
      <w:ind w:firstLine="7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BodyTextContinued">
    <w:name w:val="Body Text Continued"/>
    <w:basedOn w:val="BodyText"/>
    <w:next w:val="BodyText"/>
    <w:uiPriority w:val="99"/>
    <w:pPr>
      <w:ind w:firstLine="0"/>
    </w:pPr>
    <w:rPr>
      <w:szCs w:val="20"/>
    </w:rPr>
  </w:style>
  <w:style w:type="paragraph" w:styleId="Quote">
    <w:name w:val="Quote"/>
    <w:basedOn w:val="Normal"/>
    <w:next w:val="BodyTextContinued"/>
    <w:link w:val="QuoteChar"/>
    <w:uiPriority w:val="99"/>
    <w:qFormat/>
    <w:pPr>
      <w:spacing w:after="240"/>
      <w:ind w:left="1440" w:right="1440"/>
    </w:pPr>
    <w:rPr>
      <w:szCs w:val="20"/>
    </w:rPr>
  </w:style>
  <w:style w:type="character" w:customStyle="1" w:styleId="QuoteChar">
    <w:name w:val="Quote Char"/>
    <w:basedOn w:val="DefaultParagraphFont"/>
    <w:link w:val="Quote"/>
    <w:uiPriority w:val="29"/>
    <w:locked/>
    <w:rPr>
      <w:rFonts w:cs="Times New Roman"/>
      <w:i/>
      <w:iCs/>
      <w:color w:val="000000"/>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92"/>
        <w:tab w:val="right" w:pos="8784"/>
      </w:tabs>
    </w:pPr>
  </w:style>
  <w:style w:type="character" w:customStyle="1" w:styleId="FooterChar">
    <w:name w:val="Footer Char"/>
    <w:basedOn w:val="DefaultParagraphFont"/>
    <w:link w:val="Footer"/>
    <w:uiPriority w:val="99"/>
    <w:semiHidden/>
    <w:locked/>
    <w:rPr>
      <w:rFonts w:cs="Times New Roman"/>
      <w:sz w:val="24"/>
      <w:szCs w:val="24"/>
      <w:lang w:val="en-US" w:eastAsia="en-US" w:bidi="ar-SA"/>
    </w:rPr>
  </w:style>
  <w:style w:type="character" w:styleId="PageNumber">
    <w:name w:val="page number"/>
    <w:basedOn w:val="DefaultParagraphFont"/>
    <w:uiPriority w:val="99"/>
    <w:rPr>
      <w:rFonts w:cs="Times New Roman"/>
    </w:rPr>
  </w:style>
  <w:style w:type="paragraph" w:customStyle="1" w:styleId="SLS-BodyText5">
    <w:name w:val="SLS-Body Text .5&quot;"/>
    <w:aliases w:val="S2"/>
    <w:basedOn w:val="Normal"/>
    <w:uiPriority w:val="99"/>
    <w:pPr>
      <w:spacing w:after="240"/>
      <w:ind w:firstLine="720"/>
    </w:pPr>
    <w:rPr>
      <w:szCs w:val="20"/>
    </w:rPr>
  </w:style>
  <w:style w:type="paragraph" w:customStyle="1" w:styleId="SLS-BodyText1">
    <w:name w:val="SLS-Body Text 1&quot;"/>
    <w:aliases w:val="S3"/>
    <w:basedOn w:val="Normal"/>
    <w:uiPriority w:val="99"/>
    <w:pPr>
      <w:spacing w:after="240"/>
      <w:ind w:firstLine="1440"/>
    </w:pPr>
    <w:rPr>
      <w:szCs w:val="20"/>
    </w:rPr>
  </w:style>
  <w:style w:type="paragraph" w:customStyle="1" w:styleId="SLS-BodyText">
    <w:name w:val="SLS-Body Text"/>
    <w:aliases w:val="S1"/>
    <w:basedOn w:val="Normal"/>
    <w:uiPriority w:val="99"/>
    <w:pPr>
      <w:spacing w:after="240"/>
    </w:pPr>
    <w:rPr>
      <w:szCs w:val="20"/>
    </w:rPr>
  </w:style>
  <w:style w:type="paragraph" w:customStyle="1" w:styleId="SLS-Bullet">
    <w:name w:val="SLS-Bullet"/>
    <w:aliases w:val="S4"/>
    <w:basedOn w:val="Normal"/>
    <w:uiPriority w:val="99"/>
    <w:pPr>
      <w:numPr>
        <w:numId w:val="1"/>
      </w:numPr>
      <w:spacing w:after="240"/>
    </w:pPr>
    <w:rPr>
      <w:szCs w:val="20"/>
    </w:rPr>
  </w:style>
  <w:style w:type="paragraph" w:customStyle="1" w:styleId="SLS-Indent5">
    <w:name w:val="SLS-Indent .5&quot;"/>
    <w:aliases w:val="S5"/>
    <w:basedOn w:val="Normal"/>
    <w:uiPriority w:val="99"/>
    <w:pPr>
      <w:spacing w:after="240"/>
      <w:ind w:left="720"/>
    </w:pPr>
    <w:rPr>
      <w:szCs w:val="20"/>
    </w:rPr>
  </w:style>
  <w:style w:type="paragraph" w:customStyle="1" w:styleId="SLS-Indent1">
    <w:name w:val="SLS-Indent 1&quot;"/>
    <w:aliases w:val="S6"/>
    <w:basedOn w:val="Normal"/>
    <w:uiPriority w:val="99"/>
    <w:pPr>
      <w:spacing w:after="240"/>
      <w:ind w:left="1440"/>
    </w:pPr>
    <w:rPr>
      <w:szCs w:val="20"/>
    </w:rPr>
  </w:style>
  <w:style w:type="paragraph" w:customStyle="1" w:styleId="SLS-IndentedQuote">
    <w:name w:val="SLS-Indented Quote"/>
    <w:aliases w:val="S7"/>
    <w:basedOn w:val="Normal"/>
    <w:uiPriority w:val="99"/>
    <w:pPr>
      <w:spacing w:after="240"/>
      <w:ind w:left="1440" w:right="1440"/>
    </w:pPr>
    <w:rPr>
      <w:szCs w:val="20"/>
    </w:rPr>
  </w:style>
  <w:style w:type="paragraph" w:customStyle="1" w:styleId="SLS-Signature">
    <w:name w:val="SLS-Signature"/>
    <w:aliases w:val="S12"/>
    <w:basedOn w:val="Normal"/>
    <w:next w:val="Normal"/>
    <w:uiPriority w:val="99"/>
    <w:pPr>
      <w:keepNext/>
      <w:keepLines/>
      <w:spacing w:after="240"/>
      <w:ind w:left="5040"/>
    </w:pPr>
    <w:rPr>
      <w:szCs w:val="20"/>
    </w:rPr>
  </w:style>
  <w:style w:type="paragraph" w:customStyle="1" w:styleId="SLS-TITLECENTEREDB">
    <w:name w:val="SLS-TITLE CENTERED (B)"/>
    <w:aliases w:val="S10"/>
    <w:basedOn w:val="Normal"/>
    <w:next w:val="Normal"/>
    <w:uiPriority w:val="99"/>
    <w:pPr>
      <w:keepNext/>
      <w:keepLines/>
      <w:spacing w:after="240"/>
      <w:jc w:val="center"/>
    </w:pPr>
    <w:rPr>
      <w:rFonts w:hAnsi="Times New Roman Bold"/>
      <w:b/>
      <w:caps/>
      <w:szCs w:val="20"/>
    </w:rPr>
  </w:style>
  <w:style w:type="paragraph" w:customStyle="1" w:styleId="SLS-TITLECENTEREDU">
    <w:name w:val="SLS-TITLE CENTERED (U)"/>
    <w:aliases w:val="S8"/>
    <w:basedOn w:val="Normal"/>
    <w:next w:val="Normal"/>
    <w:uiPriority w:val="99"/>
    <w:pPr>
      <w:keepNext/>
      <w:keepLines/>
      <w:spacing w:after="240"/>
      <w:jc w:val="center"/>
    </w:pPr>
    <w:rPr>
      <w:caps/>
      <w:szCs w:val="20"/>
      <w:u w:val="single"/>
    </w:rPr>
  </w:style>
  <w:style w:type="paragraph" w:customStyle="1" w:styleId="SLS-TitleLeftBold">
    <w:name w:val="SLS-Title Left Bold"/>
    <w:aliases w:val="S11"/>
    <w:basedOn w:val="Normal"/>
    <w:next w:val="Normal"/>
    <w:uiPriority w:val="99"/>
    <w:pPr>
      <w:keepNext/>
      <w:keepLines/>
      <w:spacing w:after="240"/>
    </w:pPr>
    <w:rPr>
      <w:b/>
      <w:szCs w:val="20"/>
    </w:rPr>
  </w:style>
  <w:style w:type="paragraph" w:customStyle="1" w:styleId="SLS-TitleLeftUnderlined">
    <w:name w:val="SLS-Title Left Underlined"/>
    <w:aliases w:val="S9,O-Title Left (U)"/>
    <w:basedOn w:val="Normal"/>
    <w:next w:val="Normal"/>
    <w:uiPriority w:val="99"/>
    <w:pPr>
      <w:keepNext/>
      <w:keepLines/>
      <w:spacing w:after="240"/>
    </w:pPr>
    <w:rPr>
      <w:szCs w:val="20"/>
      <w:u w:val="single"/>
    </w:rPr>
  </w:style>
  <w:style w:type="paragraph" w:customStyle="1" w:styleId="SLS-BodyTextDS">
    <w:name w:val="SLS-Body Text (DS)"/>
    <w:aliases w:val="28"/>
    <w:basedOn w:val="Normal"/>
    <w:uiPriority w:val="99"/>
    <w:pPr>
      <w:spacing w:line="480" w:lineRule="auto"/>
    </w:pPr>
    <w:rPr>
      <w:szCs w:val="20"/>
    </w:rPr>
  </w:style>
  <w:style w:type="paragraph" w:customStyle="1" w:styleId="SLS-BodyTextJ">
    <w:name w:val="SLS-Body Text (J)"/>
    <w:aliases w:val="s13"/>
    <w:basedOn w:val="Normal"/>
    <w:uiPriority w:val="99"/>
    <w:pPr>
      <w:spacing w:after="240"/>
      <w:jc w:val="both"/>
    </w:pPr>
    <w:rPr>
      <w:szCs w:val="20"/>
    </w:rPr>
  </w:style>
  <w:style w:type="paragraph" w:customStyle="1" w:styleId="SLS-BodyText5J">
    <w:name w:val="SLS-Body Text .5&quot; (J)"/>
    <w:aliases w:val="s14"/>
    <w:basedOn w:val="Normal"/>
    <w:uiPriority w:val="99"/>
    <w:pPr>
      <w:spacing w:after="240"/>
      <w:ind w:firstLine="720"/>
      <w:jc w:val="both"/>
    </w:pPr>
    <w:rPr>
      <w:szCs w:val="20"/>
    </w:rPr>
  </w:style>
  <w:style w:type="paragraph" w:customStyle="1" w:styleId="SLS-BodyText5DS">
    <w:name w:val="SLS-Body Text .5” (DS)"/>
    <w:aliases w:val="s29"/>
    <w:basedOn w:val="Normal"/>
    <w:uiPriority w:val="99"/>
    <w:pPr>
      <w:keepLines/>
      <w:spacing w:line="480" w:lineRule="auto"/>
      <w:ind w:firstLine="720"/>
    </w:pPr>
    <w:rPr>
      <w:szCs w:val="20"/>
    </w:rPr>
  </w:style>
  <w:style w:type="paragraph" w:customStyle="1" w:styleId="SLS-BodyText1J">
    <w:name w:val="SLS-Body Text 1&quot; (J)"/>
    <w:aliases w:val="s15"/>
    <w:basedOn w:val="Normal"/>
    <w:uiPriority w:val="99"/>
    <w:pPr>
      <w:spacing w:after="240"/>
      <w:ind w:firstLine="1440"/>
      <w:jc w:val="both"/>
    </w:pPr>
    <w:rPr>
      <w:szCs w:val="20"/>
    </w:rPr>
  </w:style>
  <w:style w:type="paragraph" w:customStyle="1" w:styleId="SLS-BodyText1DS">
    <w:name w:val="SLS-Body Text 1” (DS)"/>
    <w:aliases w:val="30"/>
    <w:basedOn w:val="Normal"/>
    <w:uiPriority w:val="99"/>
    <w:pPr>
      <w:spacing w:line="480" w:lineRule="auto"/>
      <w:ind w:firstLine="1440"/>
    </w:pPr>
    <w:rPr>
      <w:szCs w:val="20"/>
    </w:rPr>
  </w:style>
  <w:style w:type="paragraph" w:customStyle="1" w:styleId="SLS-Bullet5">
    <w:name w:val="SLS-Bullet .5&quot;"/>
    <w:aliases w:val="s26"/>
    <w:basedOn w:val="Normal"/>
    <w:uiPriority w:val="99"/>
    <w:pPr>
      <w:keepLines/>
      <w:numPr>
        <w:numId w:val="2"/>
      </w:numPr>
      <w:tabs>
        <w:tab w:val="num" w:pos="1800"/>
      </w:tabs>
      <w:spacing w:after="240"/>
      <w:ind w:left="1800"/>
    </w:pPr>
    <w:rPr>
      <w:szCs w:val="20"/>
    </w:rPr>
  </w:style>
  <w:style w:type="paragraph" w:customStyle="1" w:styleId="SLS-bullet1">
    <w:name w:val="SLS-bullet 1&quot;"/>
    <w:aliases w:val="s27"/>
    <w:basedOn w:val="Normal"/>
    <w:uiPriority w:val="99"/>
    <w:pPr>
      <w:keepLines/>
      <w:numPr>
        <w:numId w:val="3"/>
      </w:numPr>
      <w:spacing w:after="240"/>
      <w:ind w:left="360"/>
    </w:pPr>
    <w:rPr>
      <w:szCs w:val="20"/>
    </w:rPr>
  </w:style>
  <w:style w:type="paragraph" w:customStyle="1" w:styleId="SLS-QuoteDS">
    <w:name w:val="SLS-Quote (DS)"/>
    <w:aliases w:val="s17"/>
    <w:basedOn w:val="Normal"/>
    <w:uiPriority w:val="99"/>
    <w:pPr>
      <w:keepLines/>
      <w:spacing w:line="480" w:lineRule="auto"/>
      <w:ind w:left="1440" w:right="1440"/>
    </w:pPr>
    <w:rPr>
      <w:szCs w:val="20"/>
    </w:rPr>
  </w:style>
  <w:style w:type="paragraph" w:customStyle="1" w:styleId="SLS-QuoteJ">
    <w:name w:val="SLS-Quote (J)"/>
    <w:aliases w:val="s16"/>
    <w:basedOn w:val="Normal"/>
    <w:uiPriority w:val="99"/>
    <w:pPr>
      <w:keepLines/>
      <w:spacing w:after="240"/>
      <w:ind w:left="1440" w:right="1440"/>
      <w:jc w:val="both"/>
    </w:pPr>
    <w:rPr>
      <w:szCs w:val="20"/>
    </w:rPr>
  </w:style>
  <w:style w:type="paragraph" w:customStyle="1" w:styleId="SLS-SignatureLA">
    <w:name w:val="SLS-Signature (LA)"/>
    <w:aliases w:val="s18"/>
    <w:basedOn w:val="Normal"/>
    <w:uiPriority w:val="99"/>
    <w:pPr>
      <w:keepLines/>
      <w:tabs>
        <w:tab w:val="right" w:pos="2880"/>
      </w:tabs>
      <w:spacing w:before="720" w:after="240"/>
      <w:ind w:left="547" w:hanging="547"/>
    </w:pPr>
    <w:rPr>
      <w:szCs w:val="20"/>
    </w:rPr>
  </w:style>
  <w:style w:type="paragraph" w:customStyle="1" w:styleId="SLS-TitleBldCtrLowerCaps">
    <w:name w:val="SLS-Title (Bld) (Ctr) (Lower Caps)"/>
    <w:aliases w:val="s20"/>
    <w:basedOn w:val="Normal"/>
    <w:uiPriority w:val="99"/>
    <w:pPr>
      <w:keepNext/>
      <w:spacing w:after="240"/>
      <w:jc w:val="center"/>
    </w:pPr>
    <w:rPr>
      <w:b/>
      <w:bCs/>
      <w:szCs w:val="20"/>
    </w:rPr>
  </w:style>
  <w:style w:type="paragraph" w:customStyle="1" w:styleId="SLS-TitleCLowerCaps">
    <w:name w:val="SLS-Title (C) (Lower Caps)"/>
    <w:aliases w:val="s21"/>
    <w:basedOn w:val="Normal"/>
    <w:next w:val="Normal"/>
    <w:uiPriority w:val="99"/>
    <w:pPr>
      <w:keepNext/>
      <w:spacing w:after="240"/>
      <w:jc w:val="center"/>
    </w:pPr>
    <w:rPr>
      <w:szCs w:val="20"/>
    </w:rPr>
  </w:style>
  <w:style w:type="paragraph" w:customStyle="1" w:styleId="SLS-TitleLeftBldU">
    <w:name w:val="SLS-Title Left (Bld) (U)"/>
    <w:aliases w:val="s19"/>
    <w:basedOn w:val="Normal"/>
    <w:next w:val="Normal"/>
    <w:uiPriority w:val="99"/>
    <w:pPr>
      <w:keepNext/>
      <w:spacing w:after="240"/>
    </w:pPr>
    <w:rPr>
      <w:b/>
      <w:bCs/>
      <w:szCs w:val="20"/>
      <w:u w:val="single"/>
    </w:rPr>
  </w:style>
  <w:style w:type="paragraph" w:customStyle="1" w:styleId="SLS-TitleLeftIUBld">
    <w:name w:val="SLS-Title Left (I) (U) (Bld)"/>
    <w:aliases w:val="s25"/>
    <w:basedOn w:val="Normal"/>
    <w:next w:val="Normal"/>
    <w:uiPriority w:val="99"/>
    <w:pPr>
      <w:keepNext/>
      <w:spacing w:after="240"/>
    </w:pPr>
    <w:rPr>
      <w:b/>
      <w:bCs/>
      <w:i/>
      <w:iCs/>
      <w:szCs w:val="20"/>
      <w:u w:val="single"/>
    </w:rPr>
  </w:style>
  <w:style w:type="paragraph" w:customStyle="1" w:styleId="SLS-TitleLeftIU">
    <w:name w:val="SLS-Title Left (I) (U)"/>
    <w:aliases w:val="s24"/>
    <w:basedOn w:val="Normal"/>
    <w:next w:val="Normal"/>
    <w:uiPriority w:val="99"/>
    <w:pPr>
      <w:keepNext/>
      <w:spacing w:after="240"/>
    </w:pPr>
    <w:rPr>
      <w:bCs/>
      <w:i/>
      <w:szCs w:val="20"/>
      <w:u w:val="single"/>
    </w:rPr>
  </w:style>
  <w:style w:type="paragraph" w:customStyle="1" w:styleId="SLS-TitleLeftI">
    <w:name w:val="SLS-Title Left (I)"/>
    <w:aliases w:val="s23"/>
    <w:basedOn w:val="Normal"/>
    <w:uiPriority w:val="99"/>
    <w:pPr>
      <w:keepNext/>
      <w:spacing w:after="240"/>
    </w:pPr>
    <w:rPr>
      <w:b/>
      <w:bCs/>
      <w:i/>
      <w:iCs/>
      <w:szCs w:val="20"/>
    </w:rPr>
  </w:style>
  <w:style w:type="paragraph" w:customStyle="1" w:styleId="SLS-TitleO-CtrBldULowerCaps">
    <w:name w:val="SLS-Title O-(Ctr) (Bld) (U) (Lower Caps)"/>
    <w:aliases w:val="s22"/>
    <w:basedOn w:val="Normal"/>
    <w:next w:val="Normal"/>
    <w:uiPriority w:val="99"/>
    <w:pPr>
      <w:keepNext/>
      <w:spacing w:after="240"/>
      <w:jc w:val="center"/>
    </w:pPr>
    <w:rPr>
      <w:b/>
      <w:bCs/>
      <w:szCs w:val="2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zzmpTrailerItem">
    <w:name w:val="zzmpTrailerItem"/>
    <w:basedOn w:val="DefaultParagraphFont"/>
    <w:uiPriority w:val="99"/>
    <w:rPr>
      <w:rFonts w:ascii="Times New Roman" w:hAnsi="Times New Roman" w:cs="Times New Roman"/>
      <w:noProof/>
      <w:color w:val="000000"/>
      <w:spacing w:val="0"/>
      <w:position w:val="0"/>
      <w:sz w:val="16"/>
      <w:szCs w:val="16"/>
      <w:u w:val="none"/>
      <w:effect w:val="none"/>
      <w:vertAlign w:val="baseline"/>
    </w:rPr>
  </w:style>
  <w:style w:type="table" w:styleId="TableGrid">
    <w:name w:val="Table Grid"/>
    <w:basedOn w:val="TableNormal"/>
    <w:uiPriority w:val="59"/>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Normal"/>
    <w:link w:val="FooterLandscapeChar"/>
    <w:pPr>
      <w:suppressLineNumbers/>
      <w:tabs>
        <w:tab w:val="center" w:pos="6480"/>
        <w:tab w:val="right" w:pos="12960"/>
      </w:tabs>
      <w:suppressAutoHyphens/>
      <w:spacing w:after="120"/>
    </w:pPr>
    <w:rPr>
      <w:b/>
      <w:i/>
    </w:rPr>
  </w:style>
  <w:style w:type="character" w:customStyle="1" w:styleId="FooterLandscapeChar">
    <w:name w:val="Footer Landscape Char"/>
    <w:basedOn w:val="DefaultParagraphFont"/>
    <w:link w:val="FooterLandscape"/>
    <w:locked/>
    <w:rPr>
      <w:rFonts w:cs="Times New Roman"/>
      <w:b/>
      <w:i/>
      <w:sz w:val="24"/>
      <w:szCs w:val="24"/>
    </w:rPr>
  </w:style>
  <w:style w:type="paragraph" w:styleId="FootnoteText">
    <w:name w:val="footnote text"/>
    <w:basedOn w:val="Normal"/>
    <w:link w:val="FootnoteTextChar"/>
    <w:uiPriority w:val="99"/>
    <w:rsid w:val="00635167"/>
    <w:rPr>
      <w:sz w:val="20"/>
      <w:szCs w:val="20"/>
    </w:rPr>
  </w:style>
  <w:style w:type="character" w:customStyle="1" w:styleId="FootnoteTextChar">
    <w:name w:val="Footnote Text Char"/>
    <w:basedOn w:val="DefaultParagraphFont"/>
    <w:link w:val="FootnoteText"/>
    <w:uiPriority w:val="99"/>
    <w:rsid w:val="00635167"/>
  </w:style>
  <w:style w:type="character" w:styleId="FootnoteReference">
    <w:name w:val="footnote reference"/>
    <w:basedOn w:val="DefaultParagraphFont"/>
    <w:uiPriority w:val="99"/>
    <w:rsid w:val="006351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footer" Target="footer5.xml" />
  <Relationship Id="rId3" Type="http://schemas.openxmlformats.org/officeDocument/2006/relationships/styles" Target="styles.xml" />
  <Relationship Id="rId21" Type="http://schemas.openxmlformats.org/officeDocument/2006/relationships/fontTable" Target="fontTable.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footer" Target="footer4.xml" />
  <Relationship Id="rId2" Type="http://schemas.openxmlformats.org/officeDocument/2006/relationships/numbering" Target="numbering.xml" />
  <Relationship Id="rId16" Type="http://schemas.openxmlformats.org/officeDocument/2006/relationships/header" Target="header5.xml" />
  <Relationship Id="rId20"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header" Target="header4.xml" />
  <Relationship Id="rId10" Type="http://schemas.openxmlformats.org/officeDocument/2006/relationships/header" Target="header2.xml" />
  <Relationship Id="rId19" Type="http://schemas.openxmlformats.org/officeDocument/2006/relationships/header" Target="header6.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4622-84FB-4DBE-B55B-439250B7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4</Pages>
  <Words>423</Words>
  <Characters>2410</Characters>
  <Application>Microsoft Office Word</Application>
  <DocSecurity>0</DocSecurity>
  <Lines>137</Lines>
  <Paragraphs>66</Paragraphs>
  <ScaleCrop>false</ScaleCrop>
  <HeadingPairs>
    <vt:vector size="2" baseType="variant">
      <vt:variant>
        <vt:lpstr>Title</vt:lpstr>
      </vt:variant>
      <vt:variant>
        <vt:i4>1</vt:i4>
      </vt:variant>
    </vt:vector>
  </HeadingPairs>
  <TitlesOfParts>
    <vt:vector size="1" baseType="lpstr">
      <vt:lpstr>Founders Term Sheet</vt:lpstr>
    </vt:vector>
  </TitlesOfParts>
  <Company/>
  <LinksUpToDate>false</LinksUpToDate>
  <CharactersWithSpaces>2792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IFAAcdeYKKRO1CMOEUyB3szz8S89n0OlxqnyDSlX9yIkLG0rDUI7ja8ocxrOaotVEYhV23C23cT1TquM
kNkWYe7DJjCeUBkqRebVNUaL0iAY8nccYKuRRDwkXNnr4Yp2K6ThIpzTcuZWoZ2MkNkWYe7DJjCe
UBkqRebVNUaL0iAY8nccYKuRRDwkXDkJC4NJXXkQpltYwOuKrwgCzWQoe0FwwkGRebHDkAP5OQvx
GJNuEN1xfusAaMsKH</vt:lpwstr>
  </property>
  <property fmtid="{D5CDD505-2E9C-101B-9397-08002B2CF9AE}" pid="3" name="MAIL_MSG_ID2">
    <vt:lpwstr>4MV8EfCxTXPlLQ2BlDiqsm9xGJ2Z16WGuNKfIoSPS1Jj8MV3DxMkZdD2W6d
lEeQH0Z9AhwMpSkW</vt:lpwstr>
  </property>
  <property fmtid="{D5CDD505-2E9C-101B-9397-08002B2CF9AE}" pid="4" name="RESPONSE_SENDER_NAME">
    <vt:lpwstr>sAAAXRTqSjcrLAobc+H8iYKYUdJ2p2Ve5Iz5eaUwBvFuxb8=</vt:lpwstr>
  </property>
  <property fmtid="{D5CDD505-2E9C-101B-9397-08002B2CF9AE}" pid="5" name="EMAIL_OWNER_ADDRESS">
    <vt:lpwstr>4AAAyjQjm0EOGgIQ0oWckb4SlihG9VLyDp74mpQtx+dnBHqHWQKwtfu4ww==</vt:lpwstr>
  </property>
</Properties>
</file>